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4B95" w14:textId="77777777" w:rsidR="00A04B31" w:rsidRDefault="00AC773C">
      <w:pPr>
        <w:pStyle w:val="Podnadpis"/>
        <w:rPr>
          <w:rFonts w:hint="eastAsia"/>
          <w:b/>
          <w:bCs/>
          <w:i w:val="0"/>
          <w:iCs w:val="0"/>
          <w:color w:val="00AA9D"/>
          <w:sz w:val="36"/>
          <w:szCs w:val="36"/>
          <w:u w:color="205968"/>
        </w:rPr>
      </w:pPr>
      <w:r w:rsidRPr="00AA6DCB">
        <w:rPr>
          <w:b/>
          <w:bCs/>
          <w:i w:val="0"/>
          <w:iCs w:val="0"/>
          <w:color w:val="00AA9D"/>
          <w:sz w:val="36"/>
          <w:szCs w:val="36"/>
          <w:u w:color="205968"/>
        </w:rPr>
        <w:t>ZPRÁVA O UDRŽITELNOSTI A PLNĚNÍ ZÁSADY DNSH PRO BUDOVY</w:t>
      </w:r>
    </w:p>
    <w:p w14:paraId="3725A5C4" w14:textId="77777777" w:rsidR="0060549B" w:rsidRDefault="0060549B" w:rsidP="00F274C6">
      <w:pPr>
        <w:pStyle w:val="Text"/>
        <w:rPr>
          <w:i/>
          <w:iCs/>
          <w:color w:val="FF0000"/>
        </w:rPr>
      </w:pPr>
    </w:p>
    <w:p w14:paraId="54A2AAEC" w14:textId="1E0D7222" w:rsidR="0060549B" w:rsidRPr="0060549B" w:rsidRDefault="0060549B" w:rsidP="0060549B">
      <w:pPr>
        <w:pStyle w:val="Nadpis2"/>
        <w:rPr>
          <w:rFonts w:hint="eastAsia"/>
          <w:b/>
          <w:bCs/>
          <w:color w:val="000000"/>
          <w:sz w:val="22"/>
          <w:szCs w:val="22"/>
        </w:rPr>
      </w:pPr>
      <w:r w:rsidRPr="0060549B">
        <w:rPr>
          <w:b/>
          <w:bCs/>
          <w:color w:val="000000"/>
          <w:sz w:val="22"/>
          <w:szCs w:val="22"/>
        </w:rPr>
        <w:t>VZOROVĚ VYPLNĚNÁ ZPRÁVA</w:t>
      </w:r>
    </w:p>
    <w:p w14:paraId="4A13D5A9" w14:textId="1B1BB386" w:rsidR="00F274C6" w:rsidRPr="0060549B" w:rsidRDefault="00F274C6" w:rsidP="0060549B">
      <w:pPr>
        <w:pStyle w:val="Nadpis2"/>
        <w:rPr>
          <w:rFonts w:hint="eastAsia"/>
          <w:b/>
          <w:bCs/>
          <w:color w:val="000000"/>
          <w:sz w:val="22"/>
          <w:szCs w:val="22"/>
        </w:rPr>
      </w:pPr>
      <w:r w:rsidRPr="0060549B">
        <w:rPr>
          <w:b/>
          <w:bCs/>
          <w:color w:val="000000"/>
          <w:sz w:val="22"/>
          <w:szCs w:val="22"/>
        </w:rPr>
        <w:t>Typ projektu: nákup nemovitosti – rezidenčn</w:t>
      </w:r>
      <w:r w:rsidR="0060549B" w:rsidRPr="0060549B">
        <w:rPr>
          <w:b/>
          <w:bCs/>
          <w:color w:val="000000"/>
          <w:sz w:val="22"/>
          <w:szCs w:val="22"/>
        </w:rPr>
        <w:t>í bytový dům v Jihomoravském kraji</w:t>
      </w:r>
    </w:p>
    <w:p w14:paraId="606F367E" w14:textId="77777777" w:rsidR="00A04B31" w:rsidRPr="00AA6DCB" w:rsidRDefault="00AC773C">
      <w:pPr>
        <w:pStyle w:val="Nadpis2"/>
        <w:rPr>
          <w:rFonts w:hint="eastAsia"/>
          <w:b/>
          <w:bCs/>
          <w:sz w:val="22"/>
          <w:szCs w:val="22"/>
        </w:rPr>
      </w:pPr>
      <w:bookmarkStart w:id="0" w:name="_headingh.30j0zll"/>
      <w:bookmarkEnd w:id="0"/>
      <w:r w:rsidRPr="00AA6DCB">
        <w:rPr>
          <w:b/>
          <w:bCs/>
          <w:color w:val="000000"/>
          <w:sz w:val="22"/>
          <w:szCs w:val="22"/>
        </w:rPr>
        <w:t>ÚVOD</w:t>
      </w:r>
    </w:p>
    <w:p w14:paraId="258A75CA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Zpráva o udržitelnosti a plnění zásady DNSH pro budovy slouží jako podklad k</w:t>
      </w:r>
      <w:r w:rsidR="00B20B04" w:rsidRPr="00AA6DCB">
        <w:rPr>
          <w:rFonts w:ascii="Montserrat Regular" w:hAnsi="Montserrat Regular"/>
        </w:rPr>
        <w:t> </w:t>
      </w:r>
      <w:r w:rsidRPr="00AA6DCB">
        <w:rPr>
          <w:rFonts w:ascii="Montserrat Regular" w:hAnsi="Montserrat Regular"/>
        </w:rPr>
        <w:t>žádosti</w:t>
      </w:r>
      <w:r w:rsidR="00B20B04" w:rsidRPr="00AA6DCB">
        <w:rPr>
          <w:rFonts w:ascii="Montserrat Regular" w:hAnsi="Montserrat Regular"/>
        </w:rPr>
        <w:br/>
      </w:r>
      <w:r w:rsidRPr="00AA6DCB">
        <w:rPr>
          <w:rFonts w:ascii="Montserrat Regular" w:hAnsi="Montserrat Regular"/>
        </w:rPr>
        <w:t>o financování a prokazuje plnění zásady DNSH pro budovy.</w:t>
      </w:r>
    </w:p>
    <w:p w14:paraId="4BD57D14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Formulář je rozdělený do 6 kategorií na základě environmentálních cílů DNSH:</w:t>
      </w:r>
    </w:p>
    <w:p w14:paraId="582C590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 xml:space="preserve">Zmírňování změny klimatu – </w:t>
      </w:r>
      <w:proofErr w:type="spellStart"/>
      <w:r w:rsidRPr="00AA6DCB">
        <w:rPr>
          <w:rFonts w:ascii="Montserrat Bold" w:hAnsi="Montserrat Bold"/>
        </w:rPr>
        <w:t>mitigace</w:t>
      </w:r>
      <w:proofErr w:type="spellEnd"/>
    </w:p>
    <w:p w14:paraId="38606FE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Přizpůsobení se změně klimatu – adaptace</w:t>
      </w:r>
    </w:p>
    <w:p w14:paraId="66B1F59D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Udržitelné využívání a ochrana vodních zdrojů</w:t>
      </w:r>
    </w:p>
    <w:p w14:paraId="54287C2C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 xml:space="preserve">Přechod na oběhové hospodářství – </w:t>
      </w:r>
      <w:proofErr w:type="spellStart"/>
      <w:r w:rsidRPr="00AA6DCB">
        <w:rPr>
          <w:rFonts w:ascii="Montserrat Bold" w:hAnsi="Montserrat Bold"/>
        </w:rPr>
        <w:t>cirkularita</w:t>
      </w:r>
      <w:proofErr w:type="spellEnd"/>
    </w:p>
    <w:p w14:paraId="303092A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Prevence a omezování znečištění ovzduší, vody nebo půdy</w:t>
      </w:r>
    </w:p>
    <w:p w14:paraId="5276F55F" w14:textId="77777777" w:rsidR="00A04B31" w:rsidRPr="00AA6DCB" w:rsidRDefault="00AC773C">
      <w:pPr>
        <w:numPr>
          <w:ilvl w:val="0"/>
          <w:numId w:val="2"/>
        </w:numPr>
        <w:spacing w:after="120"/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Ochrana a obnova biologické rozmanitosti a ekosystémů</w:t>
      </w:r>
    </w:p>
    <w:p w14:paraId="38B01C26" w14:textId="3D49487B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 xml:space="preserve">Formulář je určený pro činnosti typu novostavba, rekonstrukce a </w:t>
      </w:r>
      <w:r w:rsidR="001203C0">
        <w:rPr>
          <w:rFonts w:ascii="Montserrat Regular" w:hAnsi="Montserrat Regular"/>
        </w:rPr>
        <w:t>nákup</w:t>
      </w:r>
      <w:r w:rsidRPr="00AA6DCB">
        <w:rPr>
          <w:rFonts w:ascii="Montserrat Regular" w:hAnsi="Montserrat Regular"/>
        </w:rPr>
        <w:t>. Typy nemovitostí vhodné pro žádost o čerpání financování jsou jak rezidenční, tak nerezidenční budovy.</w:t>
      </w:r>
    </w:p>
    <w:p w14:paraId="5734A117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Součástí formuláře jsou tabulky, které je potřeba pro plnění podmínek čerpání financování potřeba řádně vyplnit. K jednotlivým údajům uvedeným v tabulce je dle popisu potřebné v informačním systému připojit průvodní dokumentace (např. projektová dokumentace, technické podklady, certifikáty, protokoly, prohlášení apod.)</w:t>
      </w:r>
      <w:r w:rsidR="00B20B04" w:rsidRPr="00AA6DCB">
        <w:rPr>
          <w:rFonts w:ascii="Montserrat Regular" w:hAnsi="Montserrat Regular"/>
        </w:rPr>
        <w:br/>
      </w:r>
      <w:r w:rsidRPr="00AA6DCB">
        <w:rPr>
          <w:rFonts w:ascii="Montserrat Regular" w:hAnsi="Montserrat Regular"/>
        </w:rPr>
        <w:t>ve formě příloh.</w:t>
      </w:r>
    </w:p>
    <w:p w14:paraId="1914CD8B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 xml:space="preserve">Pro lepší orientaci a návod na vyplňování jednotlivých částí formuláře použijte </w:t>
      </w:r>
      <w:r w:rsidRPr="001203C0">
        <w:rPr>
          <w:rFonts w:ascii="Montserrat Bold" w:hAnsi="Montserrat Bold"/>
          <w:b/>
          <w:bCs/>
        </w:rPr>
        <w:t>Průvodce udržitelností a zásadou DNSH pro budovy</w:t>
      </w:r>
      <w:r w:rsidRPr="00AA6DCB">
        <w:rPr>
          <w:rFonts w:ascii="Montserrat Regular" w:hAnsi="Montserrat Regular"/>
        </w:rPr>
        <w:t xml:space="preserve">. Součástí Průvodce je návod a rozcestník k použití formuláře, vodítka v plnění jednotlivých cílů, způsob vyplňování jednotlivých údajů, slovník pojmů a zdroje použitých údajů. </w:t>
      </w:r>
    </w:p>
    <w:p w14:paraId="4E1E0D56" w14:textId="7FB094F7" w:rsidR="00A04B31" w:rsidRPr="001203C0" w:rsidRDefault="001203C0">
      <w:pPr>
        <w:rPr>
          <w:rFonts w:ascii="Montserrat Regular" w:hAnsi="Montserrat Regular" w:hint="eastAsia"/>
        </w:rPr>
      </w:pPr>
      <w:bookmarkStart w:id="1" w:name="_headingh.tyjcwt"/>
      <w:bookmarkEnd w:id="1"/>
      <w:r>
        <w:rPr>
          <w:rFonts w:ascii="Montserrat Regular" w:hAnsi="Montserrat Regular"/>
        </w:rPr>
        <w:t xml:space="preserve">Instrukce pro vyplňování kolonek jsou uvedeny </w:t>
      </w:r>
      <w:r w:rsidRPr="001203C0">
        <w:rPr>
          <w:rFonts w:ascii="Montserrat Regular" w:hAnsi="Montserrat Regular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>tyrkysovou barvou</w:t>
      </w:r>
      <w:r>
        <w:rPr>
          <w:rFonts w:ascii="Montserrat Regular" w:hAnsi="Montserrat Regular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1203C0">
        <w:rPr>
          <w:rFonts w:ascii="Montserrat Regular" w:hAnsi="Montserrat Regular"/>
        </w:rPr>
        <w:t>tento text nahraďte vlastními údaji</w:t>
      </w:r>
      <w:r>
        <w:rPr>
          <w:rFonts w:ascii="Montserrat Regular" w:hAnsi="Montserrat Regular"/>
        </w:rPr>
        <w:t xml:space="preserve"> o projektu</w:t>
      </w:r>
      <w:r w:rsidRPr="001203C0">
        <w:rPr>
          <w:rFonts w:ascii="Montserrat Regular" w:hAnsi="Montserrat Regular"/>
        </w:rPr>
        <w:t>.</w:t>
      </w:r>
      <w:r>
        <w:rPr>
          <w:rFonts w:ascii="Montserrat Regular" w:hAnsi="Montserrat Regular"/>
        </w:rPr>
        <w:t xml:space="preserve"> V případě, že se tabulka pro daný typ projektu (novostavba/rekonstrukce/nákup) </w:t>
      </w:r>
      <w:r w:rsidR="001758C8">
        <w:rPr>
          <w:rFonts w:ascii="Montserrat Regular" w:hAnsi="Montserrat Regular"/>
        </w:rPr>
        <w:t>nevyplňuje, není nutné ji upravovat. V tabulkách je možné přidávat řádky či upravovat velikost buněk tabulky dle potřeby projektu a délky textu.</w:t>
      </w:r>
      <w:r w:rsidR="00AC773C" w:rsidRPr="001203C0">
        <w:rPr>
          <w:rFonts w:ascii="Montserrat Regular" w:hAnsi="Montserrat Regular"/>
        </w:rPr>
        <w:br w:type="page"/>
      </w:r>
    </w:p>
    <w:p w14:paraId="71F26CCA" w14:textId="77777777" w:rsidR="00A04B31" w:rsidRPr="00AA6DCB" w:rsidRDefault="00AC773C">
      <w:pPr>
        <w:pStyle w:val="Nadpis"/>
        <w:keepNext/>
        <w:spacing w:before="240" w:after="120"/>
        <w:ind w:left="720" w:hanging="720"/>
        <w:rPr>
          <w:rFonts w:ascii="Montserrat" w:hAnsi="Montserrat"/>
          <w:b/>
          <w:smallCaps/>
          <w:color w:val="00AA9D"/>
          <w:sz w:val="36"/>
          <w:szCs w:val="36"/>
          <w:u w:color="205968"/>
          <w:lang w:val="cs-CZ"/>
        </w:rPr>
      </w:pPr>
      <w:r w:rsidRPr="00AA6DCB">
        <w:rPr>
          <w:rFonts w:ascii="Montserrat" w:hAnsi="Montserrat"/>
          <w:b/>
          <w:smallCaps/>
          <w:color w:val="00AA9D"/>
          <w:sz w:val="36"/>
          <w:szCs w:val="36"/>
          <w:u w:color="205968"/>
          <w:lang w:val="cs-CZ"/>
        </w:rPr>
        <w:lastRenderedPageBreak/>
        <w:t xml:space="preserve">ENVIRONMENTÁLNÍ CÍLE DNSH </w:t>
      </w:r>
    </w:p>
    <w:p w14:paraId="7C446555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bookmarkStart w:id="2" w:name="_headingh.35nkun2"/>
      <w:bookmarkEnd w:id="2"/>
      <w:r w:rsidRPr="00AA6DCB">
        <w:rPr>
          <w:rFonts w:ascii="Montserrat" w:hAnsi="Montserrat"/>
          <w:b/>
          <w:color w:val="000000"/>
          <w:sz w:val="22"/>
          <w:szCs w:val="22"/>
        </w:rPr>
        <w:t>ZMÍRŇOVÁNÍ ZMĚNY KLIMATU – MITIGACE</w:t>
      </w:r>
    </w:p>
    <w:p w14:paraId="66F07A11" w14:textId="7C5C7782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  <w:r w:rsidR="001203C0">
        <w:rPr>
          <w:rFonts w:ascii="Montserrat" w:hAnsi="Montserrat"/>
          <w:b/>
          <w:color w:val="000000"/>
          <w:sz w:val="22"/>
          <w:szCs w:val="22"/>
        </w:rPr>
        <w:t>, NÁKUP</w:t>
      </w:r>
    </w:p>
    <w:p w14:paraId="4DD40D10" w14:textId="5B05EFBC" w:rsidR="001203C0" w:rsidRPr="001203C0" w:rsidRDefault="00AC773C" w:rsidP="001203C0">
      <w:pPr>
        <w:pStyle w:val="Odstavecseseznamem"/>
        <w:keepNext/>
        <w:numPr>
          <w:ilvl w:val="1"/>
          <w:numId w:val="14"/>
        </w:numPr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1203C0">
        <w:rPr>
          <w:rFonts w:ascii="Montserrat Medium" w:hAnsi="Montserrat Medium"/>
        </w:rPr>
        <w:t>Klient odevzdáním Zprávy čestně prohlašuje, že budova není určena k těžbě, skladování, přepravě nebo výrobě fosilních paliv.</w:t>
      </w:r>
    </w:p>
    <w:p w14:paraId="3287D8AF" w14:textId="7935B96E" w:rsidR="00A04B31" w:rsidRPr="001203C0" w:rsidRDefault="00AC773C" w:rsidP="001203C0">
      <w:pPr>
        <w:keepNext/>
        <w:spacing w:before="120" w:after="120" w:line="240" w:lineRule="auto"/>
        <w:ind w:left="20"/>
        <w:rPr>
          <w:rFonts w:ascii="Montserrat Bold" w:eastAsia="Montserrat Bold" w:hAnsi="Montserrat Bold" w:cs="Montserrat Bold"/>
        </w:rPr>
      </w:pPr>
      <w:r w:rsidRPr="001203C0">
        <w:rPr>
          <w:rFonts w:ascii="Montserrat Medium" w:hAnsi="Montserrat Medium"/>
        </w:rPr>
        <w:t>Tabulka 1.2 Vyhodnocení PENB</w:t>
      </w:r>
    </w:p>
    <w:tbl>
      <w:tblPr>
        <w:tblStyle w:val="TableNormal"/>
        <w:tblW w:w="102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A04B31" w:rsidRPr="00AA6DCB" w14:paraId="53DB8C15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8ABE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Bold" w:hAnsi="Montserrat Bold"/>
              </w:rPr>
              <w:t>PENB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5457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Bold" w:hAnsi="Montserrat Bold"/>
              </w:rPr>
              <w:t>Posuzovaná budova</w:t>
            </w:r>
          </w:p>
        </w:tc>
      </w:tr>
      <w:tr w:rsidR="00A04B31" w:rsidRPr="00AA6DCB" w14:paraId="4A0283FB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F2D9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Typ projektu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33EB" w14:textId="3F21BBBE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  <w:r w:rsidR="001203C0"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novostavba </w:t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4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</w:t>
            </w:r>
            <w:r w:rsid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0549B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60549B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nákup</w:t>
            </w:r>
          </w:p>
        </w:tc>
      </w:tr>
      <w:tr w:rsidR="00A04B31" w:rsidRPr="00AA6DCB" w14:paraId="5129CDE8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0435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Klasifikační třída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3ECB" w14:textId="1D734997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</w:tr>
      <w:tr w:rsidR="00A04B31" w:rsidRPr="00AA6DCB" w14:paraId="4DEB1BD1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2728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Spotřeba budovy (kWh/m</w:t>
            </w:r>
            <w:r w:rsidRPr="00AA6DCB">
              <w:rPr>
                <w:rFonts w:ascii="Montserrat Regular" w:hAnsi="Montserrat Regular"/>
                <w:vertAlign w:val="superscript"/>
              </w:rPr>
              <w:t>2</w:t>
            </w:r>
            <w:r w:rsidRPr="00AA6DCB">
              <w:rPr>
                <w:rFonts w:ascii="Montserrat Regular" w:hAnsi="Montserrat Regular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F643" w14:textId="4E8994A4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</w:tr>
      <w:tr w:rsidR="00A04B31" w:rsidRPr="00AA6DCB" w14:paraId="42C30EAF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F299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Spotřeba referenční budovy (kWh/m</w:t>
            </w:r>
            <w:r w:rsidRPr="00AA6DCB">
              <w:rPr>
                <w:rFonts w:ascii="Montserrat Regular" w:hAnsi="Montserrat Regular"/>
                <w:vertAlign w:val="superscript"/>
              </w:rPr>
              <w:t>2</w:t>
            </w:r>
            <w:r w:rsidRPr="00AA6DCB">
              <w:rPr>
                <w:rFonts w:ascii="Montserrat Regular" w:hAnsi="Montserrat Regular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B0F8" w14:textId="4FEC12D2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</w:tbl>
    <w:p w14:paraId="50171B53" w14:textId="77777777" w:rsidR="00A04B31" w:rsidRPr="00AA6DCB" w:rsidRDefault="00A04B31">
      <w:bookmarkStart w:id="5" w:name="_headingh.1ksv4uv"/>
      <w:bookmarkEnd w:id="5"/>
    </w:p>
    <w:p w14:paraId="2180317F" w14:textId="4DCDA8FE" w:rsidR="00A04B31" w:rsidRPr="00AA6DCB" w:rsidRDefault="001758C8">
      <w:pPr>
        <w:rPr>
          <w:rFonts w:ascii="Montserrat" w:hAnsi="Montserrat"/>
          <w:bCs/>
        </w:rPr>
      </w:pPr>
      <w:r>
        <w:rPr>
          <w:rFonts w:ascii="Montserrat" w:hAnsi="Montserrat"/>
          <w:b/>
        </w:rPr>
        <w:t>NÁKUP</w:t>
      </w:r>
      <w:r w:rsidRPr="00AA6DCB">
        <w:rPr>
          <w:rFonts w:ascii="Montserrat" w:hAnsi="Montserrat"/>
          <w:bCs/>
        </w:rPr>
        <w:t xml:space="preserve"> </w:t>
      </w:r>
      <w:r w:rsidR="00AC773C" w:rsidRPr="00AA6DCB">
        <w:rPr>
          <w:rFonts w:ascii="Montserrat" w:hAnsi="Montserrat"/>
          <w:bCs/>
        </w:rPr>
        <w:t>– vyberte zvolenou variantu dokládání</w:t>
      </w:r>
      <w:r>
        <w:rPr>
          <w:rFonts w:ascii="Montserrat" w:hAnsi="Montserrat"/>
          <w:bCs/>
        </w:rPr>
        <w:t>. (Neplatí pro novostavbu a rekonstrukci.)</w:t>
      </w:r>
    </w:p>
    <w:tbl>
      <w:tblPr>
        <w:tblStyle w:val="TableNormal"/>
        <w:tblW w:w="10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5098"/>
      </w:tblGrid>
      <w:tr w:rsidR="00A04B31" w:rsidRPr="00AA6DCB" w14:paraId="6A2A01B9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8FA8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PENB alespoň úrovně C dle požadavků vyhlášky 264/2020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62C5" w14:textId="6594AAAC" w:rsidR="001203C0" w:rsidRPr="001203C0" w:rsidRDefault="0060549B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</w:p>
          <w:p w14:paraId="2D4EF48D" w14:textId="0B6937E8" w:rsidR="00A04B31" w:rsidRPr="001203C0" w:rsidRDefault="001203C0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5"/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9ADE" w14:textId="4DA94206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Zpráva </w:t>
            </w:r>
            <w:proofErr w:type="spellStart"/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PENB_akvizice</w:t>
            </w:r>
            <w:proofErr w:type="spellEnd"/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bytový dům_R04.pdf</w:t>
            </w:r>
          </w:p>
        </w:tc>
      </w:tr>
      <w:tr w:rsidR="00A04B31" w:rsidRPr="00AA6DCB" w14:paraId="25A8540F" w14:textId="77777777">
        <w:trPr>
          <w:trHeight w:val="93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168F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Budova patří mezi nejlepších 30 % vnitrostátního nebo regionálního fondu budov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DD5B" w14:textId="735943E4" w:rsidR="001203C0" w:rsidRPr="001203C0" w:rsidRDefault="003C60FC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6"/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7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11B4B8F" w14:textId="692A9163" w:rsidR="00A04B31" w:rsidRPr="001203C0" w:rsidRDefault="0060549B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E7E19" w14:textId="31FD3CBB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45AD8829" w14:textId="77777777" w:rsidR="00A04B31" w:rsidRPr="00AA6DCB" w:rsidRDefault="00A04B31">
      <w:pPr>
        <w:widowControl w:val="0"/>
        <w:spacing w:line="240" w:lineRule="auto"/>
        <w:rPr>
          <w:b/>
          <w:bCs/>
        </w:rPr>
      </w:pPr>
    </w:p>
    <w:p w14:paraId="2D4D5607" w14:textId="77777777" w:rsidR="00A04B31" w:rsidRPr="00AA6DCB" w:rsidRDefault="00AC773C" w:rsidP="00AC773C">
      <w:r w:rsidRPr="00AA6DC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EFFB3A" wp14:editId="2B85CF7E">
                <wp:simplePos x="0" y="0"/>
                <wp:positionH relativeFrom="column">
                  <wp:posOffset>3315335</wp:posOffset>
                </wp:positionH>
                <wp:positionV relativeFrom="line">
                  <wp:posOffset>443865</wp:posOffset>
                </wp:positionV>
                <wp:extent cx="2677161" cy="1907588"/>
                <wp:effectExtent l="0" t="0" r="0" b="0"/>
                <wp:wrapNone/>
                <wp:docPr id="1073741826" name="officeArt object" descr="Písmeno C – Klasifikační třída – doplňte písmeno dle PENB projektu do řádku č.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1" cy="1907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D96AF4" w14:textId="77777777" w:rsidR="00AC773C" w:rsidRDefault="00AC7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Pí</w:t>
                            </w:r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  <w:lang w:val="it-IT"/>
                              </w:rPr>
                              <w:t>smeno C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 xml:space="preserve"> – Klasifikační tří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  <w:lang w:val="it-IT"/>
                              </w:rPr>
                              <w:t xml:space="preserve">da 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– doplňte písmeno dle PENB projektu do řádku č. 2</w:t>
                            </w:r>
                          </w:p>
                          <w:p w14:paraId="3EE904E8" w14:textId="77777777" w:rsidR="00AC773C" w:rsidRDefault="00AC773C"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Hodnota xxx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F274C6"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Spot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řeba primární energie budovy z neobnovitelných zdrojů v kWh/m2.rok – doplňte hodnotu dle PENB projektu do řádku č. 3.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FFB3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ísmeno C – Klasifikační třída – doplňte písmeno dle PENB projektu do řádku č. 2…" style="position:absolute;margin-left:261.05pt;margin-top:34.95pt;width:210.8pt;height:150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5BD96AF4" w14:textId="77777777" w:rsidR="00AC773C" w:rsidRDefault="00AC77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>Pí</w:t>
                      </w:r>
                      <w:r>
                        <w:rPr>
                          <w:rFonts w:ascii="Montserrat Bold" w:hAnsi="Montserrat Bold"/>
                          <w:sz w:val="20"/>
                          <w:szCs w:val="20"/>
                          <w:lang w:val="it-IT"/>
                        </w:rPr>
                        <w:t>smeno C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 xml:space="preserve"> – Klasifikační tří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  <w:lang w:val="it-IT"/>
                        </w:rPr>
                        <w:t xml:space="preserve">da 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– doplňte písmeno dle PENB projektu do řádku č. 2</w:t>
                      </w:r>
                    </w:p>
                    <w:p w14:paraId="3EE904E8" w14:textId="77777777" w:rsidR="00AC773C" w:rsidRDefault="00AC773C"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 xml:space="preserve">Hodnota </w:t>
                      </w:r>
                      <w:proofErr w:type="spellStart"/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 xml:space="preserve"> – </w:t>
                      </w:r>
                      <w:r w:rsidRPr="00F274C6"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Spot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řeba primární energie budovy z neobnovitelných zdrojů v kWh/m2.rok – doplňte hodnotu dle PENB projektu do řádku č. 3.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AA6DCB">
        <w:rPr>
          <w:noProof/>
        </w:rPr>
        <w:drawing>
          <wp:anchor distT="0" distB="0" distL="0" distR="0" simplePos="0" relativeHeight="251660288" behindDoc="0" locked="0" layoutInCell="1" allowOverlap="1" wp14:anchorId="4775CC12" wp14:editId="0D22AA54">
            <wp:simplePos x="0" y="0"/>
            <wp:positionH relativeFrom="column">
              <wp:posOffset>142875</wp:posOffset>
            </wp:positionH>
            <wp:positionV relativeFrom="line">
              <wp:posOffset>445134</wp:posOffset>
            </wp:positionV>
            <wp:extent cx="1914525" cy="2557145"/>
            <wp:effectExtent l="0" t="0" r="0" b="0"/>
            <wp:wrapTopAndBottom distT="0" distB="0"/>
            <wp:docPr id="1073741827" name="officeArt object" descr="Obrázok, na ktorom je text, snímka obrazovky, softvér, webová stránk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ok, na ktorom je text, snímka obrazovky, softvér, webová stránkaAutomaticky generovaný popis" descr="Obrázok, na ktorom je text, snímka obrazovky, softvér, webová stránkaAutomaticky generovaný popi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57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A6DCB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5ED1F8D" wp14:editId="74E01F30">
                <wp:simplePos x="0" y="0"/>
                <wp:positionH relativeFrom="column">
                  <wp:posOffset>507928</wp:posOffset>
                </wp:positionH>
                <wp:positionV relativeFrom="line">
                  <wp:posOffset>533793</wp:posOffset>
                </wp:positionV>
                <wp:extent cx="2617589" cy="1513072"/>
                <wp:effectExtent l="0" t="0" r="0" b="0"/>
                <wp:wrapNone/>
                <wp:docPr id="1073741830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589" cy="1513072"/>
                          <a:chOff x="0" y="0"/>
                          <a:chExt cx="2617588" cy="1513071"/>
                        </a:xfrm>
                      </wpg:grpSpPr>
                      <wps:wsp>
                        <wps:cNvPr id="1073741828" name="Shape 8"/>
                        <wps:cNvSpPr/>
                        <wps:spPr>
                          <a:xfrm>
                            <a:off x="0" y="692813"/>
                            <a:ext cx="823733" cy="820259"/>
                          </a:xfrm>
                          <a:prstGeom prst="ellipse">
                            <a:avLst/>
                          </a:prstGeom>
                          <a:noFill/>
                          <a:ln w="76200" cap="flat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Čára"/>
                        <wps:cNvCnPr/>
                        <wps:spPr>
                          <a:xfrm flipH="1">
                            <a:off x="776786" y="0"/>
                            <a:ext cx="1840803" cy="851019"/>
                          </a:xfrm>
                          <a:prstGeom prst="line">
                            <a:avLst/>
                          </a:prstGeom>
                          <a:noFill/>
                          <a:ln w="57150" cap="flat">
                            <a:solidFill>
                              <a:srgbClr val="FF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40.0pt;margin-top:42.0pt;width:206.1pt;height:119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617589,1513072">
                <w10:wrap type="none" side="bothSides" anchorx="text"/>
                <v:oval id="_x0000_s1028" style="position:absolute;left:0;top:692814;width:823732;height:820258;">
                  <v:fill on="f"/>
                  <v:stroke filltype="solid" color="#FF0000" opacity="100.0%" weight="6.0pt" dashstyle="solid" endcap="flat" joinstyle="round" linestyle="single" startarrow="none" startarrowwidth="medium" startarrowlength="medium" endarrow="none" endarrowwidth="medium" endarrowlength="medium"/>
                </v:oval>
                <v:line id="_x0000_s1029" style="position:absolute;left:776787;top:0;width:1840802;height:851018;flip:x;">
                  <v:fill on="f"/>
                  <v:stroke filltype="solid" color="#FF0000" opacity="100.0%" weight="4.5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  <w:bookmarkStart w:id="8" w:name="_headingh.1hmsyys"/>
      <w:bookmarkEnd w:id="8"/>
      <w:r w:rsidRPr="00AA6DCB">
        <w:rPr>
          <w:rFonts w:ascii="Montserrat Regular" w:hAnsi="Montserrat Regular"/>
          <w:sz w:val="20"/>
          <w:szCs w:val="20"/>
        </w:rPr>
        <w:t>Obrázek 1 Vzor PENB</w:t>
      </w:r>
    </w:p>
    <w:p w14:paraId="0AEA08D0" w14:textId="77777777" w:rsidR="00A04B31" w:rsidRPr="00AA6DCB" w:rsidRDefault="00AC773C">
      <w:pPr>
        <w:keepNext/>
        <w:rPr>
          <w:sz w:val="20"/>
          <w:szCs w:val="20"/>
        </w:rPr>
      </w:pPr>
      <w:r w:rsidRPr="00AA6DCB">
        <w:rPr>
          <w:rFonts w:ascii="Montserrat Regular" w:hAnsi="Montserrat Regular"/>
        </w:rPr>
        <w:lastRenderedPageBreak/>
        <w:t>Spotřeba referenční budovy (kWh/m2.rok) – doplňte do řádku č. 4 hodnotu</w:t>
      </w:r>
      <w:r w:rsidRPr="00AA6DCB">
        <w:rPr>
          <w:rFonts w:ascii="Montserrat Regular" w:hAnsi="Montserrat Regular"/>
        </w:rPr>
        <w:br/>
        <w:t>z kompletního protokolu PENB, sekce I</w:t>
      </w:r>
    </w:p>
    <w:p w14:paraId="4F60C4DD" w14:textId="77777777" w:rsidR="00A04B31" w:rsidRPr="00AA6DCB" w:rsidRDefault="00AC773C">
      <w:pPr>
        <w:keepNext/>
        <w:rPr>
          <w:sz w:val="20"/>
          <w:szCs w:val="20"/>
        </w:rPr>
      </w:pPr>
      <w:r w:rsidRPr="00AA6DCB">
        <w:rPr>
          <w:noProof/>
        </w:rPr>
        <w:drawing>
          <wp:inline distT="0" distB="0" distL="0" distR="0" wp14:anchorId="551972C4" wp14:editId="4C54ACA2">
            <wp:extent cx="6264275" cy="328930"/>
            <wp:effectExtent l="0" t="0" r="0" b="0"/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28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6D400E" w14:textId="77777777" w:rsidR="00A04B31" w:rsidRPr="00AA6DCB" w:rsidRDefault="00AC773C">
      <w:r w:rsidRPr="00AA6DCB">
        <w:rPr>
          <w:noProof/>
        </w:rPr>
        <w:drawing>
          <wp:inline distT="0" distB="0" distL="0" distR="0" wp14:anchorId="676F9E1D" wp14:editId="4011A184">
            <wp:extent cx="6264275" cy="1035685"/>
            <wp:effectExtent l="0" t="0" r="0" b="0"/>
            <wp:docPr id="1073741832" name="officeArt object" descr="Obsah obrázku text, snímek obrazovky, Písmo, řada/pruh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bsah obrázku text, snímek obrazovky, Písmo, řada/pruhPopis byl vytvořen automaticky" descr="Obsah obrázku text, snímek obrazovky, Písmo, řada/pruhPopis byl vytvořen automaticky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035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CD7A05" w14:textId="5E81951A" w:rsidR="00AC773C" w:rsidRPr="00AA6DCB" w:rsidRDefault="00AC773C">
      <w:pPr>
        <w:rPr>
          <w:rFonts w:ascii="Montserrat Bold" w:eastAsia="Montserrat Bold" w:hAnsi="Montserrat Bold" w:cs="Montserrat Bold"/>
          <w:smallCaps/>
          <w:color w:val="205968"/>
          <w:sz w:val="20"/>
          <w:szCs w:val="20"/>
          <w:u w:color="205968"/>
        </w:rPr>
      </w:pPr>
      <w:r w:rsidRPr="00AA6DCB">
        <w:rPr>
          <w:rFonts w:ascii="Montserrat Bold" w:eastAsia="Montserrat Bold" w:hAnsi="Montserrat Bold" w:cs="Montserrat Bold"/>
          <w:smallCaps/>
          <w:noProof/>
          <w:color w:val="205968"/>
          <w:sz w:val="20"/>
          <w:szCs w:val="20"/>
          <w:u w:color="205968"/>
        </w:rPr>
        <w:drawing>
          <wp:inline distT="0" distB="0" distL="0" distR="0" wp14:anchorId="7F6E1CC4" wp14:editId="54205088">
            <wp:extent cx="6298565" cy="1085189"/>
            <wp:effectExtent l="0" t="0" r="635" b="0"/>
            <wp:docPr id="1073741833" name="officeArt object" descr="Obsah obrázku text, Písmo, řada/pruh, čísl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bsah obrázku text, Písmo, řada/pruh, čísloPopis byl vytvořen automaticky" descr="Obsah obrázku text, Písmo, řada/pruh, číslo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392"/>
                    <a:stretch/>
                  </pic:blipFill>
                  <pic:spPr bwMode="auto">
                    <a:xfrm>
                      <a:off x="0" y="0"/>
                      <a:ext cx="6298715" cy="10852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DC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0E6E49" wp14:editId="67A9D7F5">
                <wp:simplePos x="0" y="0"/>
                <wp:positionH relativeFrom="column">
                  <wp:posOffset>4965700</wp:posOffset>
                </wp:positionH>
                <wp:positionV relativeFrom="line">
                  <wp:posOffset>622300</wp:posOffset>
                </wp:positionV>
                <wp:extent cx="496888" cy="376431"/>
                <wp:effectExtent l="0" t="0" r="0" b="0"/>
                <wp:wrapNone/>
                <wp:docPr id="1073741834" name="officeArt object" descr="Ová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88" cy="376431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visibility:visible;position:absolute;margin-left:391.0pt;margin-top:49.0pt;width:39.1pt;height:29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 w14:paraId="6CCEE8BB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PŘIZPŮSOBOVÁNÍ SE ZMĚNĚ KLIMATU – ADAPTACE</w:t>
      </w:r>
    </w:p>
    <w:p w14:paraId="58C342BF" w14:textId="5070C1EB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  <w:r w:rsidR="001203C0">
        <w:rPr>
          <w:rFonts w:ascii="Montserrat" w:hAnsi="Montserrat"/>
          <w:b/>
          <w:color w:val="000000"/>
          <w:sz w:val="22"/>
          <w:szCs w:val="22"/>
        </w:rPr>
        <w:t>, NÁKUP</w:t>
      </w:r>
    </w:p>
    <w:p w14:paraId="55E47A1E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Bold" w:hAnsi="Montserrat Medium" w:cs="Montserrat Bold"/>
        </w:rPr>
      </w:pPr>
      <w:r w:rsidRPr="00AA6DCB">
        <w:rPr>
          <w:rFonts w:ascii="Montserrat Medium" w:hAnsi="Montserrat Medium"/>
        </w:rPr>
        <w:t>Tabulka 2.1 2.2 Klimatická rizika a přijatá adaptační opatření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4048"/>
      </w:tblGrid>
      <w:tr w:rsidR="00A04B31" w:rsidRPr="00AA6DCB" w14:paraId="2AD8E55B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BDD8" w14:textId="77777777" w:rsidR="00A04B31" w:rsidRPr="00AA6DCB" w:rsidRDefault="00AC773C">
            <w:pPr>
              <w:keepNext/>
              <w:keepLines/>
              <w:jc w:val="center"/>
            </w:pPr>
            <w:r w:rsidRPr="00AA6DCB">
              <w:rPr>
                <w:rFonts w:ascii="Montserrat Bold" w:hAnsi="Montserrat Bold"/>
              </w:rPr>
              <w:t>Návrh adaptačních opatření</w:t>
            </w:r>
          </w:p>
        </w:tc>
      </w:tr>
      <w:tr w:rsidR="00A04B31" w:rsidRPr="00AA6DCB" w14:paraId="00401D00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E39E63" w14:textId="77777777" w:rsidR="00A04B31" w:rsidRPr="00AA6DCB" w:rsidRDefault="00AC773C">
            <w:pPr>
              <w:keepNext/>
              <w:keepLines/>
              <w:ind w:left="360"/>
              <w:jc w:val="center"/>
            </w:pPr>
            <w:r w:rsidRPr="00AA6DCB">
              <w:rPr>
                <w:rFonts w:ascii="Montserrat Bold" w:hAnsi="Montserrat Bold"/>
              </w:rPr>
              <w:t>1. Dlouhodobé sucho</w:t>
            </w:r>
          </w:p>
        </w:tc>
      </w:tr>
      <w:tr w:rsidR="00A04B31" w:rsidRPr="00AA6DCB" w14:paraId="0CA4A879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4518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8771E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BA7A" w14:textId="53E6A367" w:rsidR="00A04B31" w:rsidRPr="00AA6DCB" w:rsidRDefault="0041102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Zvýšené riziko sucha v oblasti Jihomoravského kraje</w:t>
            </w:r>
          </w:p>
        </w:tc>
      </w:tr>
      <w:tr w:rsidR="00A04B31" w:rsidRPr="00AA6DCB" w14:paraId="1EE4A59C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FEEBE" w14:textId="77777777" w:rsidR="00A04B31" w:rsidRPr="00AA6DCB" w:rsidRDefault="00A04B3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BF1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E8C5" w14:textId="42843047" w:rsidR="00A04B31" w:rsidRPr="00AA6DCB" w:rsidRDefault="001758C8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Zaškrtávací8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9"/>
            <w:r w:rsidR="001203C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60549B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střední 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0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vysok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</w:t>
            </w:r>
          </w:p>
        </w:tc>
      </w:tr>
      <w:tr w:rsidR="00A04B31" w:rsidRPr="00AA6DCB" w14:paraId="49150A88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158F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D827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3BC4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A1C0" w14:textId="3D03CB89" w:rsidR="00A04B31" w:rsidRPr="00AA6DCB" w:rsidRDefault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Retenční nádrž</w:t>
            </w:r>
          </w:p>
        </w:tc>
      </w:tr>
      <w:tr w:rsidR="00A04B31" w:rsidRPr="00AA6DCB" w14:paraId="24435459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41DDB2" w14:textId="77777777" w:rsidR="00A04B31" w:rsidRPr="00AA6DCB" w:rsidRDefault="00A04B3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2CAC8" w14:textId="77777777" w:rsidR="00A04B31" w:rsidRPr="00AA6DCB" w:rsidRDefault="00A04B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41AF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A70D" w14:textId="643CF739" w:rsidR="00A04B31" w:rsidRPr="00AA6DCB" w:rsidRDefault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Budova disponuje retenční nádrží</w:t>
            </w:r>
            <w:r w:rsidR="0060549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která slouží na splachování a zalévání – je navržená na zadržení Q100 množství srážkových vod</w:t>
            </w:r>
          </w:p>
        </w:tc>
      </w:tr>
      <w:tr w:rsidR="00A04B31" w:rsidRPr="00AA6DCB" w14:paraId="63C08F5D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79DC4" w14:textId="77777777" w:rsidR="00A04B31" w:rsidRPr="00AA6DCB" w:rsidRDefault="00A04B3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3C5453" w14:textId="77777777" w:rsidR="00A04B31" w:rsidRPr="00AA6DCB" w:rsidRDefault="00A04B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D21C" w14:textId="77777777" w:rsidR="00A04B31" w:rsidRPr="00AA6DCB" w:rsidRDefault="00AC773C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73D4" w14:textId="53B839FD" w:rsidR="00A04B31" w:rsidRPr="00AA6DCB" w:rsidRDefault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Q100_akvizice rezidenční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projekt_retenční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nádrž_půdorys.pdf</w:t>
            </w:r>
          </w:p>
        </w:tc>
      </w:tr>
      <w:tr w:rsidR="00A04B31" w:rsidRPr="00AA6DCB" w14:paraId="0B0EB64B" w14:textId="77777777">
        <w:trPr>
          <w:trHeight w:val="87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48CCA8" w14:textId="77777777" w:rsidR="00A04B31" w:rsidRPr="00AA6DCB" w:rsidRDefault="00A04B31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3C20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4B19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F61F" w14:textId="4A5D2E63" w:rsidR="00A04B31" w:rsidRPr="00AA6DCB" w:rsidRDefault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673E5C9D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4031B" w14:textId="77777777" w:rsidR="00A04B31" w:rsidRPr="00AA6DCB" w:rsidRDefault="00A04B3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814EC" w14:textId="77777777" w:rsidR="00A04B31" w:rsidRPr="00AA6DCB" w:rsidRDefault="00A04B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9412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7DC9" w14:textId="111118FA" w:rsidR="00A04B31" w:rsidRPr="00AA6DCB" w:rsidRDefault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1BF1DA44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3CFA5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lastRenderedPageBreak/>
              <w:t>2. Povodně a přívalové povodně</w:t>
            </w:r>
          </w:p>
        </w:tc>
      </w:tr>
      <w:tr w:rsidR="00A04B31" w:rsidRPr="00AA6DCB" w14:paraId="700CCBEA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16B5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6D379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D23A" w14:textId="50182023" w:rsidR="00A04B31" w:rsidRPr="00AA6DCB" w:rsidRDefault="0041102E">
            <w:r>
              <w:rPr>
                <w:rFonts w:ascii="Montserrat Regular" w:hAnsi="Montserrat Regular"/>
                <w:color w:val="00AA9D"/>
                <w:u w:color="4BACC6"/>
              </w:rPr>
              <w:t>Stavba se nenachází v blízkosti vodních zdrojů</w:t>
            </w:r>
          </w:p>
        </w:tc>
      </w:tr>
      <w:tr w:rsidR="00A04B31" w:rsidRPr="00AA6DCB" w14:paraId="6F3FBF92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7CFD6" w14:textId="77777777" w:rsidR="00A04B31" w:rsidRPr="00AA6DCB" w:rsidRDefault="00A04B3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1A15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938F" w14:textId="1E2EAD14" w:rsidR="00A04B31" w:rsidRPr="00AA6DCB" w:rsidRDefault="0060549B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7E2A76" w:rsidRPr="00AA6DCB" w14:paraId="0552B35B" w14:textId="77777777" w:rsidTr="008952AE">
        <w:trPr>
          <w:trHeight w:val="612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53015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9323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62C8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6DEB" w14:textId="54A17354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Retenční nádrž</w:t>
            </w:r>
          </w:p>
        </w:tc>
      </w:tr>
      <w:tr w:rsidR="007E2A76" w:rsidRPr="00AA6DCB" w14:paraId="67531395" w14:textId="77777777" w:rsidTr="008952AE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B75B83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E85EF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F764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A1CD" w14:textId="2F8AC2BA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Budova disponuje retenční </w:t>
            </w:r>
            <w:proofErr w:type="gram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nádrží</w:t>
            </w:r>
            <w:proofErr w:type="gram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která slouží na splachování a zalévání – je navržená na zadržení Q100 množství srážkových vod</w:t>
            </w:r>
          </w:p>
        </w:tc>
      </w:tr>
      <w:tr w:rsidR="007E2A76" w:rsidRPr="00AA6DCB" w14:paraId="38319B84" w14:textId="77777777" w:rsidTr="008952AE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31A5C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73674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E3DE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B2C8" w14:textId="05456EF2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Q100_akvizice rezidenční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projekt_retenční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nádrž_půdorys.pdf</w:t>
            </w:r>
          </w:p>
        </w:tc>
      </w:tr>
      <w:tr w:rsidR="00A04B31" w:rsidRPr="00AA6DCB" w14:paraId="33EC855D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7F057" w14:textId="77777777" w:rsidR="00A04B31" w:rsidRPr="00AA6DCB" w:rsidRDefault="00A04B31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2E32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FFEA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A659" w14:textId="53BDE167" w:rsidR="00A04B31" w:rsidRPr="00AA6DCB" w:rsidRDefault="00A04B31"/>
        </w:tc>
      </w:tr>
      <w:tr w:rsidR="00A04B31" w:rsidRPr="00AA6DCB" w14:paraId="30362AC2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5233E" w14:textId="77777777" w:rsidR="00A04B31" w:rsidRPr="00AA6DCB" w:rsidRDefault="00A04B3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5CEEE" w14:textId="77777777" w:rsidR="00A04B31" w:rsidRPr="00AA6DCB" w:rsidRDefault="00A04B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25EC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BC80C" w14:textId="367CFBB1" w:rsidR="00A04B31" w:rsidRPr="00AA6DCB" w:rsidRDefault="00A04B31"/>
        </w:tc>
      </w:tr>
      <w:tr w:rsidR="00A04B31" w:rsidRPr="00AA6DCB" w14:paraId="5F26F3A2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13295F" w14:textId="77777777" w:rsidR="00A04B31" w:rsidRPr="00AA6DCB" w:rsidRDefault="00AC773C">
            <w:pPr>
              <w:ind w:left="360"/>
              <w:jc w:val="center"/>
            </w:pPr>
            <w:r w:rsidRPr="00AA6DCB">
              <w:rPr>
                <w:rFonts w:ascii="Montserrat Bold" w:hAnsi="Montserrat Bold"/>
              </w:rPr>
              <w:t>3. Vydatné srážky</w:t>
            </w:r>
          </w:p>
        </w:tc>
      </w:tr>
      <w:tr w:rsidR="00A04B31" w:rsidRPr="00AA6DCB" w14:paraId="5BD7D1E8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6AAF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BDCD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2FA0" w14:textId="39C09C2C" w:rsidR="00A04B31" w:rsidRPr="00AA6DCB" w:rsidRDefault="007E2A76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ClimRisk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nachází v oblasti mírně zvýšeného rizika vydatných srážek</w:t>
            </w:r>
          </w:p>
        </w:tc>
      </w:tr>
      <w:tr w:rsidR="00A04B31" w:rsidRPr="00AA6DCB" w14:paraId="3558E447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CA7BF" w14:textId="77777777" w:rsidR="00A04B31" w:rsidRPr="00AA6DCB" w:rsidRDefault="00A04B3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0487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AD73" w14:textId="7F5A2D2F" w:rsidR="00A04B31" w:rsidRPr="00AA6DCB" w:rsidRDefault="001203C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60549B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7E2A76" w:rsidRPr="00AA6DCB" w14:paraId="5630D430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46EB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7805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18B5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96C5" w14:textId="291CB36F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Retenční nádrž</w:t>
            </w:r>
          </w:p>
        </w:tc>
      </w:tr>
      <w:tr w:rsidR="007E2A76" w:rsidRPr="00AA6DCB" w14:paraId="26BF28CC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9205D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B4AFA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45B0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6E38" w14:textId="41846015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Budova disponuje retenční nádrží</w:t>
            </w:r>
            <w:r w:rsidR="0060549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která slouží na splachování a zalévání – je navržená na zadržení Q100 množství srážkových vod</w:t>
            </w:r>
          </w:p>
        </w:tc>
      </w:tr>
      <w:tr w:rsidR="007E2A76" w:rsidRPr="00AA6DCB" w14:paraId="10EC0EBE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CD468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BD5965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59B3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F1FB" w14:textId="57D58B77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Q100_akvizice rezidenční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projekt_retenční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nádrž_půdorys.pdf</w:t>
            </w:r>
          </w:p>
        </w:tc>
      </w:tr>
      <w:tr w:rsidR="007E2A76" w:rsidRPr="00AA6DCB" w14:paraId="0E037655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FE395C" w14:textId="77777777" w:rsidR="007E2A76" w:rsidRPr="00AA6DCB" w:rsidRDefault="007E2A76" w:rsidP="007E2A76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49F4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CCB6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4F5D" w14:textId="365442C0" w:rsidR="007E2A76" w:rsidRPr="00AA6DCB" w:rsidRDefault="007E2A76" w:rsidP="007E2A76">
            <w:r>
              <w:t>-</w:t>
            </w:r>
          </w:p>
        </w:tc>
      </w:tr>
      <w:tr w:rsidR="007E2A76" w:rsidRPr="00AA6DCB" w14:paraId="794DE10F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F62A9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8C7AF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59B1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C254" w14:textId="593352C8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7E2A76" w:rsidRPr="00AA6DCB" w14:paraId="50D07308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06C4" w14:textId="77777777" w:rsidR="007E2A76" w:rsidRPr="00AA6DCB" w:rsidRDefault="007E2A76" w:rsidP="007E2A76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Montserrat Bold" w:hAnsi="Montserrat Bold" w:hint="eastAsia"/>
              </w:rPr>
            </w:pPr>
            <w:r w:rsidRPr="00AA6DCB">
              <w:rPr>
                <w:rFonts w:ascii="Montserrat Bold" w:hAnsi="Montserrat Bold"/>
              </w:rPr>
              <w:t>Zvyšování teplot a 5. Extrémně vysoké teploty</w:t>
            </w:r>
          </w:p>
        </w:tc>
      </w:tr>
      <w:tr w:rsidR="007E2A76" w:rsidRPr="00AA6DCB" w14:paraId="075476B9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9CDF9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C205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F742" w14:textId="3BFF7000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ClimRisk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nachází v oblasti mírně zvýšeného rizika zvyšování a extrémně vysokých teplot</w:t>
            </w:r>
          </w:p>
        </w:tc>
      </w:tr>
      <w:tr w:rsidR="007E2A76" w:rsidRPr="00AA6DCB" w14:paraId="79EF79FE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B3F38" w14:textId="77777777" w:rsidR="007E2A76" w:rsidRPr="00AA6DCB" w:rsidRDefault="007E2A76" w:rsidP="007E2A7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2109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1A00" w14:textId="1964699E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60549B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7E2A76" w:rsidRPr="00AA6DCB" w14:paraId="4CFD9EE1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7F92F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8046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F58B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8F7D" w14:textId="4EF713F0" w:rsidR="007E2A76" w:rsidRPr="007E2A76" w:rsidRDefault="007E2A76" w:rsidP="007E2A76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 w:rsidRPr="007E2A76">
              <w:rPr>
                <w:rFonts w:ascii="Montserrat Regular" w:hAnsi="Montserrat Regular"/>
                <w:color w:val="00AA9D"/>
                <w:u w:color="4BACC6"/>
              </w:rPr>
              <w:t>Zelená stře</w:t>
            </w:r>
            <w:r>
              <w:rPr>
                <w:rFonts w:ascii="Montserrat Regular" w:hAnsi="Montserrat Regular"/>
                <w:color w:val="00AA9D"/>
                <w:u w:color="4BACC6"/>
              </w:rPr>
              <w:t>cha</w:t>
            </w:r>
          </w:p>
        </w:tc>
      </w:tr>
      <w:tr w:rsidR="007E2A76" w:rsidRPr="00AA6DCB" w14:paraId="184AC5BE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4E9DE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CB21A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8217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5C88" w14:textId="6777614A" w:rsidR="007E2A76" w:rsidRPr="007E2A76" w:rsidRDefault="007E2A76" w:rsidP="007E2A76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Zmírnění vlivu odrazivosti povrchu střechy na zvyšování teplot</w:t>
            </w:r>
          </w:p>
        </w:tc>
      </w:tr>
      <w:tr w:rsidR="007E2A76" w:rsidRPr="00AA6DCB" w14:paraId="00F31BFE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90D914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47994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E24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39B7" w14:textId="4CCB0F7C" w:rsidR="007E2A76" w:rsidRPr="007E2A76" w:rsidRDefault="00390BB1" w:rsidP="007E2A76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X04</w:t>
            </w:r>
            <w:r w:rsidR="007E2A7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_akvizice rezidenční projekt_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střecha</w:t>
            </w:r>
            <w:r w:rsidR="007E2A7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_půdorys.pdf</w:t>
            </w:r>
          </w:p>
        </w:tc>
      </w:tr>
      <w:tr w:rsidR="007E2A76" w:rsidRPr="00AA6DCB" w14:paraId="469F90A6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59227" w14:textId="77777777" w:rsidR="007E2A76" w:rsidRPr="00AA6DCB" w:rsidRDefault="007E2A76" w:rsidP="007E2A76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A275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4200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D3EA" w14:textId="64D25253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</w:rPr>
              <w:t>Instalace zasakovací dlažby místo aktuálně vystavěné asfaltové příjezdové cesty</w:t>
            </w:r>
          </w:p>
        </w:tc>
      </w:tr>
      <w:tr w:rsidR="007E2A76" w:rsidRPr="00AA6DCB" w14:paraId="1091924A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D0592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BA701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99AC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19D4" w14:textId="00FB7818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</w:rPr>
              <w:t>Zmírnění vlivu nepropustné cesty na zvyšování teplot</w:t>
            </w:r>
          </w:p>
        </w:tc>
      </w:tr>
      <w:tr w:rsidR="007E2A76" w:rsidRPr="00AA6DCB" w14:paraId="662F23CE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E42B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6. Extrémní vítr</w:t>
            </w:r>
          </w:p>
        </w:tc>
      </w:tr>
      <w:tr w:rsidR="007E2A76" w:rsidRPr="00AA6DCB" w14:paraId="3CA64370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7C0A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C5C2F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34AA" w14:textId="767F9AF3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</w:rPr>
              <w:t>Stavba se dle cas.cz nenachází v oblasti zvýšeného rizika extrémního větru</w:t>
            </w:r>
          </w:p>
        </w:tc>
      </w:tr>
      <w:tr w:rsidR="007E2A76" w:rsidRPr="00AA6DCB" w14:paraId="334B2DE9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5E5D2" w14:textId="77777777" w:rsidR="007E2A76" w:rsidRPr="00AA6DCB" w:rsidRDefault="007E2A76" w:rsidP="007E2A7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E83BB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59A0" w14:textId="463FF134" w:rsidR="007E2A76" w:rsidRPr="00AA6DCB" w:rsidRDefault="0060549B" w:rsidP="007E2A76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7E2A7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7E2A76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E2A76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7E2A76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7E2A76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7E2A76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7E2A76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7E2A76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7E2A76" w:rsidRPr="00AA6DCB" w14:paraId="4545857F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D14DD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5E97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ADCF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A7B4" w14:textId="08EAD68F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7E2A76" w:rsidRPr="00AA6DCB" w14:paraId="3D3E7F8D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F4290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95798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2E6D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B4A9" w14:textId="133639D9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7E2A76" w:rsidRPr="00AA6DCB" w14:paraId="3772CBA2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01AFE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842C9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01EB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799A" w14:textId="577A8A7B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7E2A76" w:rsidRPr="00AA6DCB" w14:paraId="5B72C2FF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AD2A7" w14:textId="77777777" w:rsidR="007E2A76" w:rsidRPr="00AA6DCB" w:rsidRDefault="007E2A76" w:rsidP="007E2A76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317A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E2E0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5EC7" w14:textId="7B6E2640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Plánovaná výsadba aleje kolem příjezdové cesty</w:t>
            </w:r>
          </w:p>
        </w:tc>
      </w:tr>
      <w:tr w:rsidR="007E2A76" w:rsidRPr="00AA6DCB" w14:paraId="2D64AB62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AF8E25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ED15A7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9D4F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99EB" w14:textId="5AB42288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Osazené stromy budou sloužit jako větrolamy a prvek snížení rychlosti proudění větru</w:t>
            </w:r>
          </w:p>
        </w:tc>
      </w:tr>
      <w:tr w:rsidR="007E2A76" w:rsidRPr="00AA6DCB" w14:paraId="11D575BB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8E5F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7. Požáry vegetace</w:t>
            </w:r>
          </w:p>
        </w:tc>
      </w:tr>
      <w:tr w:rsidR="007E2A76" w:rsidRPr="00AA6DCB" w14:paraId="7058EE2D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248A5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9C73E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858A" w14:textId="0CC16CD9" w:rsidR="007E2A76" w:rsidRPr="00AA6DCB" w:rsidRDefault="007E2A76" w:rsidP="007E2A76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FireRisk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</w:t>
            </w:r>
            <w:r w:rsidR="00390BB1">
              <w:rPr>
                <w:rFonts w:ascii="Montserrat Regular" w:hAnsi="Montserrat Regular"/>
                <w:color w:val="00AA9D"/>
                <w:u w:color="4BACC6"/>
              </w:rPr>
              <w:t>nenachází</w:t>
            </w:r>
            <w:r>
              <w:rPr>
                <w:rFonts w:ascii="Montserrat Regular" w:hAnsi="Montserrat Regular"/>
                <w:color w:val="00AA9D"/>
                <w:u w:color="4BACC6"/>
              </w:rPr>
              <w:t xml:space="preserve"> v oblasti zvýšeného rizika požárů vegetace.</w:t>
            </w:r>
          </w:p>
        </w:tc>
      </w:tr>
      <w:tr w:rsidR="007E2A76" w:rsidRPr="00AA6DCB" w14:paraId="5476C0B4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615AF" w14:textId="77777777" w:rsidR="007E2A76" w:rsidRPr="00AA6DCB" w:rsidRDefault="007E2A76" w:rsidP="007E2A7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8C40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5D7F" w14:textId="5AE29E84" w:rsidR="007E2A76" w:rsidRPr="00AA6DCB" w:rsidRDefault="0060549B" w:rsidP="007E2A76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ízký </w:t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7E2A76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7E2A76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7E2A76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7E2A76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7E2A76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7E2A76" w:rsidRPr="00AA6DCB" w14:paraId="6F2C78AF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BA50F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3154" w14:textId="77777777" w:rsidR="007E2A76" w:rsidRPr="00AA6DCB" w:rsidRDefault="007E2A76" w:rsidP="007E2A76">
            <w:pPr>
              <w:jc w:val="center"/>
            </w:pPr>
            <w:r w:rsidRPr="00AA6DCB">
              <w:rPr>
                <w:rFonts w:ascii="Montserrat Regular" w:hAnsi="Montserrat Regular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272E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C403" w14:textId="16F0FB0B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7E2A76" w:rsidRPr="00AA6DCB" w14:paraId="272E649E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1ED5DD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F39F4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2818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14A2" w14:textId="45793450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7E2A76" w:rsidRPr="00AA6DCB" w14:paraId="4E28F459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6CC1A" w14:textId="77777777" w:rsidR="007E2A76" w:rsidRPr="00AA6DCB" w:rsidRDefault="007E2A76" w:rsidP="007E2A7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60DEF6" w14:textId="77777777" w:rsidR="007E2A76" w:rsidRPr="00AA6DCB" w:rsidRDefault="007E2A76" w:rsidP="007E2A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2ADB" w14:textId="77777777" w:rsidR="007E2A76" w:rsidRPr="00AA6DCB" w:rsidRDefault="007E2A76" w:rsidP="007E2A76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E2D6" w14:textId="786FAB9A" w:rsidR="007E2A76" w:rsidRPr="00AA6DCB" w:rsidRDefault="00390BB1" w:rsidP="007E2A76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390BB1" w:rsidRPr="00AA6DCB" w14:paraId="6DDB2F34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2D48C" w14:textId="77777777" w:rsidR="00390BB1" w:rsidRPr="00AA6DCB" w:rsidRDefault="00390BB1" w:rsidP="00390BB1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CD02" w14:textId="77777777" w:rsidR="00390BB1" w:rsidRPr="00AA6DCB" w:rsidRDefault="00390BB1" w:rsidP="00390BB1">
            <w:pPr>
              <w:jc w:val="center"/>
            </w:pPr>
            <w:r w:rsidRPr="00AA6DCB">
              <w:rPr>
                <w:rFonts w:ascii="Montserrat Regular" w:hAnsi="Montserrat Regular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B0E1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519F" w14:textId="4C19946B" w:rsidR="00390BB1" w:rsidRPr="00AA6DCB" w:rsidRDefault="00390BB1" w:rsidP="00390BB1">
            <w:r>
              <w:rPr>
                <w:rFonts w:ascii="Montserrat Regular" w:hAnsi="Montserrat Regular"/>
                <w:color w:val="00AA9D"/>
                <w:u w:color="4BACC6"/>
              </w:rPr>
              <w:t>Instalace zasakovací dlažby místo aktuálně vystavěné asfaltové příjezdové cesty</w:t>
            </w:r>
          </w:p>
        </w:tc>
      </w:tr>
      <w:tr w:rsidR="00390BB1" w:rsidRPr="00AA6DCB" w14:paraId="7DD08BC9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AED435" w14:textId="77777777" w:rsidR="00390BB1" w:rsidRPr="00AA6DCB" w:rsidRDefault="00390BB1" w:rsidP="00390B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FA18A" w14:textId="77777777" w:rsidR="00390BB1" w:rsidRPr="00AA6DCB" w:rsidRDefault="00390BB1" w:rsidP="00390BB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EC06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6132" w14:textId="0EC4A756" w:rsidR="00390BB1" w:rsidRPr="00AA6DCB" w:rsidRDefault="00390BB1" w:rsidP="00390BB1">
            <w:r>
              <w:rPr>
                <w:rFonts w:ascii="Montserrat Regular" w:hAnsi="Montserrat Regular"/>
                <w:color w:val="00AA9D"/>
                <w:u w:color="4BACC6"/>
              </w:rPr>
              <w:t>Zmírnění vlivu nepropustné cesty na zvyšování teplot a následný potencionální výskyt požárů</w:t>
            </w:r>
          </w:p>
        </w:tc>
      </w:tr>
    </w:tbl>
    <w:p w14:paraId="448F88F1" w14:textId="77777777" w:rsidR="00A04B31" w:rsidRPr="00AA6DCB" w:rsidRDefault="00A04B31">
      <w:pPr>
        <w:keepNext/>
        <w:widowControl w:val="0"/>
        <w:spacing w:before="120" w:after="120" w:line="240" w:lineRule="auto"/>
        <w:rPr>
          <w:rFonts w:ascii="Montserrat Bold" w:eastAsia="Montserrat Bold" w:hAnsi="Montserrat Bold" w:cs="Montserrat Bold"/>
        </w:rPr>
      </w:pPr>
    </w:p>
    <w:p w14:paraId="5185672E" w14:textId="77777777" w:rsidR="00A04B31" w:rsidRPr="00AA6DCB" w:rsidRDefault="00A04B31">
      <w:pPr>
        <w:rPr>
          <w:rFonts w:ascii="Montserrat Regular" w:eastAsia="Montserrat Regular" w:hAnsi="Montserrat Regular" w:cs="Montserrat Regular"/>
        </w:rPr>
      </w:pPr>
    </w:p>
    <w:p w14:paraId="3B304B05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46BACDA4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076FE9B8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6B65E2DA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3EBCA913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66AF1CAF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66EC5D28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424505F5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lastRenderedPageBreak/>
        <w:t>UDRŽITELNÉ VYUŽÍVÁNÍ A OCHRANA VODNÍCH ZDROJŮ</w:t>
      </w:r>
    </w:p>
    <w:p w14:paraId="6D025F25" w14:textId="77777777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0F08F1CD" w14:textId="77777777" w:rsidR="00A04B31" w:rsidRPr="00AA6DCB" w:rsidRDefault="00AC773C">
      <w:pPr>
        <w:keepNext/>
        <w:spacing w:before="120" w:after="120" w:line="240" w:lineRule="auto"/>
        <w:rPr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t>Tabulka 3.1 Tabulka zařizovacích a jiných předmětů se spotřebou vody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"/>
        <w:gridCol w:w="2548"/>
        <w:gridCol w:w="1782"/>
        <w:gridCol w:w="2532"/>
        <w:gridCol w:w="2501"/>
      </w:tblGrid>
      <w:tr w:rsidR="00A04B31" w:rsidRPr="00AA6DCB" w14:paraId="21FC5D43" w14:textId="77777777">
        <w:trPr>
          <w:trHeight w:val="29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F38D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Zařizovací a jiné předměty se spotřebou vody v nerezidenčních jednotkách</w:t>
            </w:r>
          </w:p>
        </w:tc>
      </w:tr>
      <w:tr w:rsidR="00A04B31" w:rsidRPr="00AA6DCB" w14:paraId="0BE4B39F" w14:textId="77777777">
        <w:trPr>
          <w:trHeight w:val="6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A289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č.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61B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Typ zařizovacího předmětu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BF84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Počet (ks)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10B6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Průtok/y (jednotku doplnit)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BD02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Průvodní dokumentace</w:t>
            </w:r>
          </w:p>
        </w:tc>
      </w:tr>
      <w:tr w:rsidR="00A04B31" w:rsidRPr="00AA6DCB" w14:paraId="4AEA23CB" w14:textId="77777777" w:rsidTr="00390BB1">
        <w:trPr>
          <w:trHeight w:val="1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B8F96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4982" w14:textId="6EA3D0D4" w:rsidR="00A04B31" w:rsidRPr="00390BB1" w:rsidRDefault="00A04B3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B5CC" w14:textId="3FC8806A" w:rsidR="00A04B31" w:rsidRPr="00390BB1" w:rsidRDefault="00A04B3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4E72" w14:textId="111708D5" w:rsidR="00A04B31" w:rsidRPr="00390BB1" w:rsidRDefault="00A04B3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1E24" w14:textId="4BE3BA10" w:rsidR="00A04B31" w:rsidRPr="00390BB1" w:rsidRDefault="00A04B3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0BB1" w:rsidRPr="00AA6DCB" w14:paraId="768F50E0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FEFC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D407" w14:textId="43354BA5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D925" w14:textId="018DFBB8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6105" w14:textId="6E0815FD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CAF8" w14:textId="512D24A5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0BB1" w:rsidRPr="00AA6DCB" w14:paraId="0A3DD2A6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97D5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 xml:space="preserve">3.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CD52" w14:textId="0F9ADDA2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C83C" w14:textId="47D49FD0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92F7" w14:textId="0CB84EDB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0085" w14:textId="335EA6AE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0BB1" w:rsidRPr="00AA6DCB" w14:paraId="72B2730B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E61A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24F9" w14:textId="2FC40FB2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40C4" w14:textId="4B5E2C98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A27A" w14:textId="11CA9C16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0528" w14:textId="08F4D366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3355A" w:rsidRPr="00AA6DCB" w14:paraId="72DA9219" w14:textId="77777777" w:rsidTr="0033415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AACB" w14:textId="132E3601" w:rsidR="00E3355A" w:rsidRPr="00AA6DCB" w:rsidRDefault="0074308A" w:rsidP="00E3355A">
            <w:r>
              <w:rPr>
                <w:rFonts w:ascii="Montserrat Regular" w:hAnsi="Montserrat Regular"/>
              </w:rPr>
              <w:t>5</w:t>
            </w:r>
            <w:r w:rsidR="00E3355A" w:rsidRPr="00AA6DCB">
              <w:rPr>
                <w:rFonts w:ascii="Montserrat Regular" w:hAnsi="Montserrat Regular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2A33" w14:textId="1D8F57B1" w:rsidR="00E3355A" w:rsidRPr="00390BB1" w:rsidRDefault="00E3355A" w:rsidP="00E3355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DB6B" w14:textId="4124743C" w:rsidR="00E3355A" w:rsidRPr="00390BB1" w:rsidRDefault="00E3355A" w:rsidP="00E3355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5922" w14:textId="5A3E2EE8" w:rsidR="00E3355A" w:rsidRPr="00390BB1" w:rsidRDefault="00E3355A" w:rsidP="00E3355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4F35" w14:textId="6BD296EC" w:rsidR="00E3355A" w:rsidRPr="00390BB1" w:rsidRDefault="00E3355A" w:rsidP="00E3355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0BB1" w:rsidRPr="00AA6DCB" w14:paraId="369DC8CF" w14:textId="77777777">
        <w:trPr>
          <w:trHeight w:val="29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70F2" w14:textId="77777777" w:rsidR="00390BB1" w:rsidRPr="00AA6DCB" w:rsidRDefault="00390BB1" w:rsidP="00390BB1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5E2D7F52" w14:textId="77777777" w:rsidR="00A04B31" w:rsidRPr="00AA6DCB" w:rsidRDefault="00A04B31">
      <w:pPr>
        <w:keepNext/>
        <w:widowControl w:val="0"/>
        <w:spacing w:before="120" w:after="120" w:line="240" w:lineRule="auto"/>
        <w:rPr>
          <w:rFonts w:ascii="Montserrat Bold" w:eastAsia="Montserrat Bold" w:hAnsi="Montserrat Bold" w:cs="Montserrat Bold"/>
        </w:rPr>
      </w:pPr>
    </w:p>
    <w:p w14:paraId="127A49A1" w14:textId="77777777" w:rsidR="00A04B31" w:rsidRPr="00AA6DCB" w:rsidRDefault="00AC773C">
      <w:pPr>
        <w:spacing w:before="120" w:after="120"/>
        <w:rPr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Výklad kritéria DNSH ohledně průtoku zařizovacích předmětů se aplikuje pouze u nerezidenčních jednotek. U bytových jednotek je aplikace nepovinná, přesto v zájmu ochrany životního prostředí, doporučujeme jeho aplikaci u všech typů budov a jednotek.</w:t>
      </w:r>
    </w:p>
    <w:p w14:paraId="78675AFC" w14:textId="77777777" w:rsidR="00A04B31" w:rsidRPr="00AA6DCB" w:rsidRDefault="00AC773C">
      <w:pPr>
        <w:numPr>
          <w:ilvl w:val="0"/>
          <w:numId w:val="10"/>
        </w:numPr>
        <w:spacing w:before="120"/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umyvadlové baterie a kuchyňské baterie mají maximální průtok vody 6 litrů/min;</w:t>
      </w:r>
    </w:p>
    <w:p w14:paraId="301A69E9" w14:textId="77777777" w:rsidR="00A04B31" w:rsidRPr="00AA6DCB" w:rsidRDefault="00AC773C">
      <w:pPr>
        <w:numPr>
          <w:ilvl w:val="0"/>
          <w:numId w:val="10"/>
        </w:numPr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sprchy mají maximální průtok vody 8 litrů/min;</w:t>
      </w:r>
    </w:p>
    <w:p w14:paraId="005DECEF" w14:textId="77777777" w:rsidR="00A04B31" w:rsidRPr="00AA6DCB" w:rsidRDefault="00AC773C">
      <w:pPr>
        <w:numPr>
          <w:ilvl w:val="0"/>
          <w:numId w:val="10"/>
        </w:numPr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WC, zahrnující soupravy, mísy a splachovací nádrže, mají úplný objem splachovací vody maximálně 6 litrů a maximální průměrný objem splachovací vody 3,5 litru;</w:t>
      </w:r>
    </w:p>
    <w:p w14:paraId="2E5745C5" w14:textId="77777777" w:rsidR="00A04B31" w:rsidRPr="00AA6DCB" w:rsidRDefault="00AC773C">
      <w:pPr>
        <w:numPr>
          <w:ilvl w:val="0"/>
          <w:numId w:val="10"/>
        </w:numPr>
        <w:spacing w:after="120"/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splachovací pisoáry mají maximální úplný objem splachovací vody 1 litr.</w:t>
      </w:r>
    </w:p>
    <w:p w14:paraId="651C7234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Fonts w:ascii="Montserrat SemiBold" w:hAnsi="Montserrat SemiBold"/>
          <w:color w:val="727272"/>
          <w:sz w:val="20"/>
          <w:szCs w:val="20"/>
        </w:rPr>
        <w:t xml:space="preserve">Výpočet průměrného průtoku WC dle </w:t>
      </w:r>
      <w:hyperlink r:id="rId15" w:history="1">
        <w:r w:rsidRPr="00AA6DCB">
          <w:rPr>
            <w:rStyle w:val="Hyperlink0"/>
            <w:color w:val="727272"/>
            <w:sz w:val="20"/>
            <w:szCs w:val="20"/>
          </w:rPr>
          <w:t>metodiky BREEAM</w:t>
        </w:r>
      </w:hyperlink>
      <w:r w:rsidRPr="00AA6DCB">
        <w:rPr>
          <w:rStyle w:val="Hyperlink0"/>
          <w:color w:val="727272"/>
          <w:sz w:val="20"/>
          <w:szCs w:val="20"/>
        </w:rPr>
        <w:t>: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WC, zahrnující soupravy, mísy</w:t>
      </w:r>
      <w:r w:rsidR="00B20B04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a splachovací nádrže, mají úplný objem splachovací vody maximálně 6 litrů a maximální průměrný objem splachovací vody 3,5 litru. Průměrná spotřeba se vykládá jako kombinované užití velkého spláchnutí a malého spláchnutí.</w:t>
      </w:r>
    </w:p>
    <w:p w14:paraId="0F5622BD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767F6B13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113B9D82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37164364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04B30BF6" w14:textId="77777777" w:rsidR="00753D49" w:rsidRDefault="00753D49" w:rsidP="00753D49">
      <w:pPr>
        <w:jc w:val="both"/>
        <w:rPr>
          <w:rFonts w:ascii="Montserrat Regular" w:eastAsia="Montserrat Regular" w:hAnsi="Montserrat Regular" w:cs="Montserrat Regular"/>
        </w:rPr>
      </w:pPr>
    </w:p>
    <w:p w14:paraId="5582BF56" w14:textId="755A2AA7" w:rsidR="00AC773C" w:rsidRPr="00753D49" w:rsidRDefault="00753D49" w:rsidP="00753D49">
      <w:pPr>
        <w:jc w:val="center"/>
        <w:rPr>
          <w:rFonts w:ascii="Montserrat Regular" w:eastAsia="Montserrat Regular" w:hAnsi="Montserrat Regular" w:cs="Montserrat Regular"/>
        </w:rPr>
      </w:pPr>
      <w:r w:rsidRPr="00AA6DCB">
        <w:rPr>
          <w:rStyle w:val="dn"/>
          <w:rFonts w:ascii="Montserrat Regular" w:eastAsia="Montserrat Regular" w:hAnsi="Montserrat Regular" w:cs="Montserrat Regular"/>
          <w:noProof/>
          <w:color w:val="727272"/>
          <w:sz w:val="20"/>
          <w:szCs w:val="20"/>
        </w:rPr>
        <w:lastRenderedPageBreak/>
        <w:drawing>
          <wp:anchor distT="152400" distB="152400" distL="152400" distR="152400" simplePos="0" relativeHeight="251665408" behindDoc="0" locked="0" layoutInCell="1" allowOverlap="1" wp14:anchorId="420D6133" wp14:editId="62BF9708">
            <wp:simplePos x="0" y="0"/>
            <wp:positionH relativeFrom="margin">
              <wp:posOffset>773084</wp:posOffset>
            </wp:positionH>
            <wp:positionV relativeFrom="line">
              <wp:posOffset>356870</wp:posOffset>
            </wp:positionV>
            <wp:extent cx="4711916" cy="2465998"/>
            <wp:effectExtent l="0" t="0" r="0" b="0"/>
            <wp:wrapTopAndBottom/>
            <wp:docPr id="1073741836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1916" cy="2465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A6DCB">
        <w:rPr>
          <w:rStyle w:val="dn"/>
          <w:rFonts w:ascii="Montserrat Medium" w:hAnsi="Montserrat Medium"/>
          <w:color w:val="727272"/>
          <w:sz w:val="20"/>
          <w:szCs w:val="20"/>
        </w:rPr>
        <w:t>Příklady výpočtu průměrné spotřeby splachování pro nerezidenční projekt</w:t>
      </w:r>
      <w:r w:rsidRPr="00AA6DCB">
        <w:rPr>
          <w:rStyle w:val="dn"/>
          <w:rFonts w:ascii="Montserrat Regular" w:eastAsia="Montserrat Regular" w:hAnsi="Montserrat Regular" w:cs="Montserrat Regular"/>
          <w:noProof/>
        </w:rPr>
        <w:t xml:space="preserve"> </w:t>
      </w:r>
      <w:r w:rsidR="00AC773C" w:rsidRPr="00AA6DCB">
        <w:rPr>
          <w:rStyle w:val="dn"/>
          <w:rFonts w:ascii="Montserrat Regular" w:eastAsia="Montserrat Regular" w:hAnsi="Montserrat Regular" w:cs="Montserrat Regular"/>
          <w:noProof/>
        </w:rPr>
        <w:drawing>
          <wp:anchor distT="152400" distB="152400" distL="152400" distR="152400" simplePos="0" relativeHeight="251664384" behindDoc="0" locked="0" layoutInCell="1" allowOverlap="1" wp14:anchorId="79CED281" wp14:editId="3A13567D">
            <wp:simplePos x="0" y="0"/>
            <wp:positionH relativeFrom="margin">
              <wp:posOffset>1276350</wp:posOffset>
            </wp:positionH>
            <wp:positionV relativeFrom="page">
              <wp:posOffset>802640</wp:posOffset>
            </wp:positionV>
            <wp:extent cx="3732530" cy="2640330"/>
            <wp:effectExtent l="0" t="0" r="0" b="1270"/>
            <wp:wrapTopAndBottom/>
            <wp:docPr id="1073741835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640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3F32614" w14:textId="27EF223F" w:rsidR="00A04B31" w:rsidRPr="00AA6DCB" w:rsidRDefault="00AC773C" w:rsidP="00AC773C">
      <w:pPr>
        <w:spacing w:before="120" w:line="240" w:lineRule="auto"/>
        <w:jc w:val="center"/>
        <w:rPr>
          <w:rFonts w:ascii="Montserrat Medium" w:eastAsia="Montserrat Medium" w:hAnsi="Montserrat Medium" w:cs="Montserrat Medium"/>
          <w:color w:val="727272"/>
          <w:sz w:val="20"/>
          <w:szCs w:val="20"/>
        </w:rPr>
      </w:pPr>
      <w:r w:rsidRPr="00AA6DCB">
        <w:rPr>
          <w:rFonts w:ascii="Montserrat Medium" w:hAnsi="Montserrat Medium"/>
          <w:color w:val="727272"/>
          <w:sz w:val="20"/>
          <w:szCs w:val="20"/>
        </w:rPr>
        <w:t>Příklady výpočtu průměrné spotřeby splachování pro rezidenční projekt (doporučené):</w:t>
      </w:r>
    </w:p>
    <w:p w14:paraId="72088CF4" w14:textId="1F233CE2" w:rsidR="00A04B31" w:rsidRPr="00AA6DCB" w:rsidRDefault="00753D49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  <w:r w:rsidRPr="00AA6DCB">
        <w:rPr>
          <w:rFonts w:ascii="Montserrat Medium" w:eastAsia="Montserrat Medium" w:hAnsi="Montserrat Medium" w:cs="Montserrat Medium"/>
          <w:noProof/>
          <w:color w:val="727272"/>
          <w:sz w:val="20"/>
          <w:szCs w:val="20"/>
        </w:rPr>
        <w:drawing>
          <wp:anchor distT="152400" distB="152400" distL="152400" distR="152400" simplePos="0" relativeHeight="251666432" behindDoc="0" locked="0" layoutInCell="1" allowOverlap="1" wp14:anchorId="18F1703A" wp14:editId="53A9DB87">
            <wp:simplePos x="0" y="0"/>
            <wp:positionH relativeFrom="margin">
              <wp:posOffset>768985</wp:posOffset>
            </wp:positionH>
            <wp:positionV relativeFrom="line">
              <wp:posOffset>297353</wp:posOffset>
            </wp:positionV>
            <wp:extent cx="4711700" cy="2465705"/>
            <wp:effectExtent l="0" t="0" r="0" b="0"/>
            <wp:wrapTopAndBottom/>
            <wp:docPr id="1073741837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465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D14559D" w14:textId="29B78507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1C738486" w14:textId="77777777" w:rsidR="00AC773C" w:rsidRPr="00753D49" w:rsidRDefault="007F612F" w:rsidP="00753D49">
      <w:pPr>
        <w:jc w:val="center"/>
        <w:rPr>
          <w:rFonts w:ascii="Montserrat Medium" w:hAnsi="Montserrat Medium"/>
          <w:color w:val="727272"/>
          <w:sz w:val="21"/>
          <w:szCs w:val="21"/>
        </w:rPr>
      </w:pPr>
      <w:r w:rsidRPr="00753D49">
        <w:rPr>
          <w:rFonts w:ascii="Montserrat Medium" w:hAnsi="Montserrat Medium"/>
          <w:color w:val="727272"/>
          <w:sz w:val="21"/>
          <w:szCs w:val="21"/>
        </w:rPr>
        <w:t>Ke všem výrobkům klient předloží příslušné certifikáty (technické listy)</w:t>
      </w:r>
    </w:p>
    <w:p w14:paraId="16AFB737" w14:textId="77777777" w:rsidR="00A04B31" w:rsidRPr="00AA6DCB" w:rsidRDefault="00AC773C">
      <w:pPr>
        <w:rPr>
          <w:rStyle w:val="dn"/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lastRenderedPageBreak/>
        <w:t>Tabulka 3.2 Ochrana vodních zdrojů a nakládání s dešťovou vodou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1F698380" w14:textId="77777777" w:rsidTr="00E3355A">
        <w:trPr>
          <w:trHeight w:val="29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64BC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na ochranu vodních zdrojů</w:t>
            </w:r>
          </w:p>
        </w:tc>
      </w:tr>
      <w:tr w:rsidR="00E3355A" w:rsidRPr="00AA6DCB" w14:paraId="3B53B01A" w14:textId="77777777" w:rsidTr="00E3355A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7B13" w14:textId="77777777" w:rsidR="00E3355A" w:rsidRPr="00AA6DCB" w:rsidRDefault="00E3355A" w:rsidP="00E3355A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Plán hospodaření s vodou a ochrany vod na staveništi a v provozu projektu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4402" w14:textId="77777777" w:rsidR="00E3355A" w:rsidRDefault="00E3355A" w:rsidP="00E3355A">
            <w:pPr>
              <w:spacing w:line="240" w:lineRule="auto"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Q100_akvizice rezidenční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projekt_retenční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nádrž_půdorys.pdf</w:t>
            </w:r>
          </w:p>
          <w:p w14:paraId="730611BA" w14:textId="77777777" w:rsidR="00E3355A" w:rsidRDefault="00E3355A" w:rsidP="00E3355A">
            <w:pPr>
              <w:spacing w:line="240" w:lineRule="auto"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E0C5CDE" w14:textId="4AE30129" w:rsidR="00E3355A" w:rsidRPr="00AA6DCB" w:rsidRDefault="00E3355A" w:rsidP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X04_akvizice rezidenční projekt_střecha_půdorys.pdf</w:t>
            </w:r>
          </w:p>
        </w:tc>
      </w:tr>
    </w:tbl>
    <w:p w14:paraId="1497AE3D" w14:textId="77777777" w:rsidR="00A04B31" w:rsidRPr="00AA6DCB" w:rsidRDefault="00A04B31">
      <w:pPr>
        <w:jc w:val="both"/>
        <w:rPr>
          <w:rStyle w:val="dn"/>
          <w:rFonts w:ascii="Montserrat Regular" w:eastAsia="Montserrat Regular" w:hAnsi="Montserrat Regular" w:cs="Montserrat Regular"/>
        </w:rPr>
      </w:pPr>
    </w:p>
    <w:p w14:paraId="1A041701" w14:textId="0B9D6DDC" w:rsidR="00A04B31" w:rsidRPr="001203C0" w:rsidRDefault="00AC773C" w:rsidP="001203C0">
      <w:pPr>
        <w:keepNext/>
        <w:spacing w:before="120" w:after="120" w:line="240" w:lineRule="auto"/>
        <w:rPr>
          <w:rFonts w:ascii="Montserrat Medium" w:hAnsi="Montserrat Medium"/>
        </w:rPr>
      </w:pPr>
      <w:bookmarkStart w:id="11" w:name="_headingh.z337ya"/>
      <w:bookmarkEnd w:id="11"/>
      <w:r w:rsidRPr="001203C0">
        <w:rPr>
          <w:rFonts w:ascii="Montserrat Medium" w:hAnsi="Montserrat Medium"/>
        </w:rPr>
        <w:t>Klient odevzdáním Zprávy čestně prohlašuje, že projekt splňuje čištění odpadních vod ze staveniště a jej</w:t>
      </w:r>
      <w:r w:rsidR="001203C0">
        <w:rPr>
          <w:rFonts w:ascii="Montserrat Medium" w:hAnsi="Montserrat Medium"/>
        </w:rPr>
        <w:t>i</w:t>
      </w:r>
      <w:r w:rsidRPr="001203C0">
        <w:rPr>
          <w:rFonts w:ascii="Montserrat Medium" w:hAnsi="Montserrat Medium"/>
        </w:rPr>
        <w:t xml:space="preserve">ch vypouštění dle vodního zákona č. 254/2001 Sb., případně zákona č. 274/2001 Sb. o vodovodech a kanalizacích, a </w:t>
      </w:r>
      <w:hyperlink r:id="rId19" w:history="1">
        <w:r w:rsidRPr="001203C0">
          <w:rPr>
            <w:rFonts w:ascii="Montserrat Medium" w:hAnsi="Montserrat Medium"/>
          </w:rPr>
          <w:t>směrnice Evropského parlamentu a Rady 2000/60/ES</w:t>
        </w:r>
      </w:hyperlink>
      <w:r w:rsidRPr="001203C0">
        <w:rPr>
          <w:rFonts w:ascii="Montserrat Medium" w:hAnsi="Montserrat Medium"/>
        </w:rPr>
        <w:t>.</w:t>
      </w:r>
    </w:p>
    <w:p w14:paraId="29F347B9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75134D2F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00850122" w14:textId="77777777" w:rsidR="00A04B31" w:rsidRPr="00AA6DCB" w:rsidRDefault="00AC773C">
      <w:pPr>
        <w:jc w:val="both"/>
        <w:rPr>
          <w:rStyle w:val="dn"/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t>Tabulka 3.3 Zjišťovací řízení v rámci procesu EIA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026415DE" w14:textId="77777777">
        <w:trPr>
          <w:trHeight w:val="61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2EFA" w14:textId="77777777" w:rsidR="00A04B31" w:rsidRPr="00AA6DCB" w:rsidRDefault="00AC773C">
            <w:r w:rsidRPr="00AA6DCB">
              <w:rPr>
                <w:rStyle w:val="dn"/>
                <w:rFonts w:ascii="Montserrat Regular" w:hAnsi="Montserrat Regular"/>
              </w:rPr>
              <w:t>Je pro projekt prováděno Zjišťovací řízení v rámci procesu EIA?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D415" w14:textId="639FA548" w:rsidR="00A04B31" w:rsidRPr="00AA6DCB" w:rsidRDefault="00AC773C">
            <w:pPr>
              <w:spacing w:line="240" w:lineRule="auto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</w:tr>
      <w:tr w:rsidR="00A04B31" w:rsidRPr="00AA6DCB" w14:paraId="0FD7AC91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94A1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 xml:space="preserve">Název/číslo dokumentu obsahující závěry Zjišťovacího řízení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BA0F" w14:textId="26331728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0144B77F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E55B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opatření dle závěrů Zjišťovacího řízení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B41F" w14:textId="1A21ABF3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44403963" w14:textId="77777777" w:rsidR="00A04B31" w:rsidRPr="00AA6DCB" w:rsidRDefault="00A04B31">
      <w:pPr>
        <w:widowControl w:val="0"/>
        <w:spacing w:line="240" w:lineRule="auto"/>
        <w:rPr>
          <w:rStyle w:val="dn"/>
          <w:rFonts w:ascii="Montserrat Bold" w:eastAsia="Montserrat Bold" w:hAnsi="Montserrat Bold" w:cs="Montserrat Bold"/>
        </w:rPr>
      </w:pPr>
    </w:p>
    <w:p w14:paraId="6EE651EC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14E1B091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lastRenderedPageBreak/>
        <w:t>P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ŘECHOD NA OBĚHOVÉ HOSPODÁŘSTVÍ</w:t>
      </w:r>
    </w:p>
    <w:p w14:paraId="313F5875" w14:textId="77777777" w:rsidR="00A04B31" w:rsidRPr="00AA6DCB" w:rsidRDefault="00AC773C">
      <w:pPr>
        <w:pStyle w:val="Nadpis2"/>
        <w:rPr>
          <w:rFonts w:ascii="Montserrat" w:hAnsi="Montserrat"/>
          <w:b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663159AB" w14:textId="77777777" w:rsidR="00A04B31" w:rsidRPr="00AA6DCB" w:rsidRDefault="00AC773C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  <w:bookmarkStart w:id="12" w:name="_headingh.3j2qqm3"/>
      <w:bookmarkEnd w:id="12"/>
      <w:r w:rsidRPr="00AA6DCB">
        <w:rPr>
          <w:rFonts w:ascii="Montserrat Medium" w:hAnsi="Montserrat Medium"/>
        </w:rPr>
        <w:t>Tabulka 4.1 Protokol o nakládání s opadem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4175BAF4" w14:textId="77777777">
        <w:trPr>
          <w:trHeight w:val="29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9D4CF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Nakládání se stavebním odpadem</w:t>
            </w:r>
          </w:p>
        </w:tc>
      </w:tr>
      <w:tr w:rsidR="00A04B31" w:rsidRPr="00AA6DCB" w14:paraId="6B9CDE50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ED7E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Množství odpadu celkem (t)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E638" w14:textId="3A6250C5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0CA2C1AA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997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Množství odpadu zpracováno jinak než skládkováním (t)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AA52" w14:textId="4F83D2BB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795E1E6A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613C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Podíl odpadu odkloněného ze skládky (%)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29C4" w14:textId="7BCC3E63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140DDAB4" w14:textId="77777777">
        <w:trPr>
          <w:trHeight w:val="222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BD06" w14:textId="77777777" w:rsidR="00A04B31" w:rsidRPr="00AA6DCB" w:rsidRDefault="00AC773C">
            <w:pPr>
              <w:keepNext/>
              <w:keepLines/>
            </w:pPr>
            <w:r w:rsidRPr="00AA6DCB">
              <w:rPr>
                <w:rStyle w:val="dn"/>
                <w:rFonts w:ascii="Montserrat Bold" w:hAnsi="Montserrat Bold"/>
              </w:rPr>
              <w:t>Způsoby naložení s odpadem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5409" w14:textId="54927551" w:rsidR="00A04B31" w:rsidRPr="00AA6DCB" w:rsidRDefault="00E3355A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4C2C7F76" w14:textId="77777777">
        <w:trPr>
          <w:trHeight w:val="222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E169" w14:textId="77777777" w:rsidR="00A04B31" w:rsidRPr="00AA6DCB" w:rsidRDefault="00AC773C">
            <w:pPr>
              <w:keepLines/>
            </w:pPr>
            <w:r w:rsidRPr="00AA6DCB">
              <w:rPr>
                <w:rStyle w:val="dn"/>
                <w:rFonts w:ascii="Montserrat Bold" w:hAnsi="Montserrat Bold"/>
              </w:rPr>
              <w:t>Název / číslo podpůrné dokumentace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77EB" w14:textId="2735AEA3" w:rsidR="00A04B31" w:rsidRPr="00AA6DCB" w:rsidRDefault="00E3355A">
            <w:pPr>
              <w:keepLines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6222ACE7" w14:textId="77777777" w:rsidR="00A04B31" w:rsidRPr="00AA6DCB" w:rsidRDefault="00AC773C">
      <w:pPr>
        <w:spacing w:before="12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Přílohou je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Plán nakládání se stavebním odpadem. 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Plán se dokládá před zahájením projektu. Plán bude součástí stavebního deníku. </w:t>
      </w:r>
    </w:p>
    <w:p w14:paraId="67500E5B" w14:textId="77777777" w:rsidR="00A04B31" w:rsidRPr="00AA6DCB" w:rsidRDefault="00AC773C">
      <w:pPr>
        <w:spacing w:before="12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Následně po dokončení projektu se dokládá závěrečná zpráva o nakládání s odpadem. Součástí předání díla a závěrečné Zprávy DNSH bude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závěrečná zpráva o nakládání s odpadem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, která porovná konečný stav s plánem a zdůvodní odchylky. Identifikaci odpadu předloží klient a bude potvrzena příslušným technickým dozorem investora. Přílohou závěrečné zprávy budou doklady, které budou potvrzovat výši konečného hmotnostního procenta a výpočty.</w:t>
      </w:r>
    </w:p>
    <w:p w14:paraId="05439D3E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lastRenderedPageBreak/>
        <w:t xml:space="preserve">Tabulka 4.2 </w:t>
      </w:r>
      <w:proofErr w:type="spellStart"/>
      <w:r w:rsidRPr="00AA6DCB">
        <w:rPr>
          <w:rFonts w:ascii="Montserrat Medium" w:hAnsi="Montserrat Medium"/>
        </w:rPr>
        <w:t>Cirkularita</w:t>
      </w:r>
      <w:proofErr w:type="spellEnd"/>
      <w:r w:rsidRPr="00AA6DCB">
        <w:rPr>
          <w:rFonts w:ascii="Montserrat Medium" w:hAnsi="Montserrat Medium"/>
        </w:rPr>
        <w:t xml:space="preserve"> budovy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6032"/>
      </w:tblGrid>
      <w:tr w:rsidR="00A04B31" w:rsidRPr="00AA6DCB" w14:paraId="5DF80613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0162" w14:textId="77777777" w:rsidR="00A04B31" w:rsidRPr="00AA6DCB" w:rsidRDefault="00AC773C">
            <w:pPr>
              <w:keepNext/>
              <w:spacing w:line="240" w:lineRule="auto"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Název dotčené oblasti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C65F" w14:textId="77777777" w:rsidR="00A04B31" w:rsidRPr="00AA6DCB" w:rsidRDefault="00AC773C">
            <w:pPr>
              <w:keepNext/>
              <w:spacing w:line="240" w:lineRule="auto"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Přijaté opatření</w:t>
            </w:r>
          </w:p>
        </w:tc>
      </w:tr>
      <w:tr w:rsidR="00A04B31" w:rsidRPr="00AA6DCB" w14:paraId="0974D60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DF65" w14:textId="77777777" w:rsidR="00A04B31" w:rsidRPr="00AA6DCB" w:rsidRDefault="00AC773C">
            <w:pPr>
              <w:keepNext/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 xml:space="preserve">Recyklované materiály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ED06" w14:textId="3B638368" w:rsidR="00A04B31" w:rsidRPr="00AA6DCB" w:rsidRDefault="00E3355A">
            <w:pPr>
              <w:keepNext/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A04B31" w:rsidRPr="00AA6DCB" w14:paraId="6633D89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6BA9" w14:textId="77777777" w:rsidR="00A04B31" w:rsidRPr="00AA6DCB" w:rsidRDefault="00AC773C">
            <w:pPr>
              <w:keepNext/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>Adaptabilita budovy pro různé funkce a způsoby využití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172C" w14:textId="02B7B458" w:rsidR="00A04B31" w:rsidRPr="00AA6DCB" w:rsidRDefault="00E3355A">
            <w:pPr>
              <w:keepNext/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A04B31" w:rsidRPr="00AA6DCB" w14:paraId="08EB43B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D804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>Flexibilita dispozic budovy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1660" w14:textId="57DC4328" w:rsidR="00A04B31" w:rsidRPr="00AA6DCB" w:rsidRDefault="00E3355A">
            <w:pPr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</w:tbl>
    <w:p w14:paraId="449140A2" w14:textId="77777777" w:rsidR="00A04B31" w:rsidRPr="00AA6DCB" w:rsidRDefault="00A04B31">
      <w:pPr>
        <w:keepNext/>
        <w:widowControl w:val="0"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13696471" w14:textId="77777777" w:rsidR="00A04B31" w:rsidRPr="00AA6DCB" w:rsidRDefault="00A04B31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tbl>
      <w:tblPr>
        <w:tblStyle w:val="TableNormal"/>
        <w:tblW w:w="98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7"/>
        <w:gridCol w:w="1993"/>
        <w:gridCol w:w="4615"/>
      </w:tblGrid>
      <w:tr w:rsidR="00A04B31" w:rsidRPr="00AA6DCB" w14:paraId="314D86A8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F181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Míra cirkulárního návrhu budovy – koncept dekonstrukce budovy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D36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 xml:space="preserve">Skóre </w:t>
            </w:r>
            <w:proofErr w:type="spellStart"/>
            <w:r w:rsidRPr="00AA6DCB">
              <w:rPr>
                <w:rStyle w:val="dn"/>
                <w:rFonts w:ascii="Montserrat Bold" w:hAnsi="Montserrat Bold"/>
              </w:rPr>
              <w:t>cirkularity</w:t>
            </w:r>
            <w:proofErr w:type="spellEnd"/>
            <w:r w:rsidRPr="00AA6DCB">
              <w:rPr>
                <w:rStyle w:val="dn"/>
                <w:rFonts w:ascii="Montserrat Bold" w:hAnsi="Montserrat Bold"/>
              </w:rPr>
              <w:t xml:space="preserve"> (1-5) *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1113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Přijaté opatření</w:t>
            </w:r>
          </w:p>
        </w:tc>
      </w:tr>
      <w:tr w:rsidR="00A04B31" w:rsidRPr="00AA6DCB" w14:paraId="5017FBE1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9D3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Snadná demontáž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498E" w14:textId="57D4CE5B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7D84" w14:textId="2AD18025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502560FF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D927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Snadnost recyklace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9505" w14:textId="73354A2F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B138" w14:textId="69DFD820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7BA13452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048E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Snadné opětovné použití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A755" w14:textId="1F0998AF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495C" w14:textId="1BD08D82" w:rsidR="00A04B31" w:rsidRPr="00AA6DCB" w:rsidRDefault="00E3355A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7169DE90" w14:textId="77777777" w:rsidTr="00E3355A">
        <w:trPr>
          <w:trHeight w:val="125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2F30" w14:textId="77777777" w:rsidR="00A04B31" w:rsidRPr="00AA6DCB" w:rsidRDefault="00AC773C">
            <w:pPr>
              <w:keepLines/>
            </w:pPr>
            <w:r w:rsidRPr="00AA6DCB">
              <w:rPr>
                <w:rStyle w:val="dn"/>
                <w:rFonts w:ascii="Montserrat Bold" w:hAnsi="Montserrat Bold"/>
              </w:rPr>
              <w:t>Celkem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38F4" w14:textId="41053939" w:rsidR="00A04B31" w:rsidRPr="00AA6DCB" w:rsidRDefault="00E3355A">
            <w:pPr>
              <w:keepLines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AD81" w14:textId="77777777" w:rsidR="00A04B31" w:rsidRPr="00AA6DCB" w:rsidRDefault="00A04B31"/>
        </w:tc>
      </w:tr>
    </w:tbl>
    <w:p w14:paraId="058C3D11" w14:textId="77777777" w:rsidR="00A04B31" w:rsidRPr="00AA6DCB" w:rsidRDefault="00A04B31">
      <w:pPr>
        <w:keepNext/>
        <w:widowControl w:val="0"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700F674D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*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Skóre </w:t>
      </w:r>
      <w:proofErr w:type="spellStart"/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cirkularity</w:t>
      </w:r>
      <w:proofErr w:type="spellEnd"/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: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</w:t>
      </w:r>
    </w:p>
    <w:p w14:paraId="19FAE2AC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1 – špatný výkon (budova bez možnosti uskutečnění daného konceptu, uskutečnění konceptu</w:t>
      </w:r>
      <w:r w:rsidR="007F612F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by bylo náročné a zbytečné)</w:t>
      </w:r>
    </w:p>
    <w:p w14:paraId="48D690F6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2 – podprůměrný výkon (budova s limitovanými možnostmi uskutečnění daného konceptu, vyžadující nadměrné úsilí na zapracování)</w:t>
      </w:r>
    </w:p>
    <w:p w14:paraId="6A841B36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3 – průměrný výkon (budova </w:t>
      </w:r>
      <w:proofErr w:type="gramStart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s</w:t>
      </w:r>
      <w:proofErr w:type="gramEnd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možnosti uskutečnění daného konceptu, se střednou náročností zapracování)</w:t>
      </w:r>
    </w:p>
    <w:p w14:paraId="6914CB65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4 – nadprůměrný výkon (budova má mnoho prvků uskutečnění daného konceptu, které je relativně jednoduché uskutečnit)</w:t>
      </w:r>
    </w:p>
    <w:p w14:paraId="5DCBC74B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5 – vynikající výkon (celá budova je navržená k uskutečnění daného konceptu, se snadným</w:t>
      </w:r>
      <w:r w:rsidR="007F612F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a efektivním zpracováním)</w:t>
      </w:r>
    </w:p>
    <w:p w14:paraId="6DA96DC5" w14:textId="77777777" w:rsidR="00A04B31" w:rsidRPr="00AA6DCB" w:rsidRDefault="00AC773C">
      <w:r w:rsidRPr="00AA6DCB">
        <w:rPr>
          <w:rStyle w:val="dn"/>
          <w:rFonts w:ascii="Arial Unicode MS" w:hAnsi="Arial Unicode MS"/>
        </w:rPr>
        <w:br w:type="page"/>
      </w:r>
    </w:p>
    <w:p w14:paraId="17E5237E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lastRenderedPageBreak/>
        <w:t>P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REVENCE A OMEZOVÁNÍ ZNEČIŠTĚNÍ OVZDUŠÍ, VODY NEBO PŮDY</w:t>
      </w:r>
    </w:p>
    <w:p w14:paraId="4C8F553D" w14:textId="77777777" w:rsidR="00A04B31" w:rsidRPr="00AA6DCB" w:rsidRDefault="00AC773C">
      <w:pPr>
        <w:pStyle w:val="Nadpis2"/>
        <w:rPr>
          <w:rFonts w:ascii="Montserrat" w:hAnsi="Montserrat"/>
          <w:b/>
        </w:rPr>
      </w:pPr>
      <w:bookmarkStart w:id="13" w:name="_headingh.1y810tw"/>
      <w:bookmarkEnd w:id="13"/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31C5F567" w14:textId="77777777" w:rsidR="00A04B31" w:rsidRPr="00AA6DCB" w:rsidRDefault="00AC773C">
      <w:pPr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 xml:space="preserve">5.1 Klient odevzdáním Zprávy čestně prohlašuje, že stavební prvky a materiály použité při stavbě splňují kritéria stanovená </w:t>
      </w:r>
      <w:r w:rsidRPr="00AA6DCB">
        <w:rPr>
          <w:rStyle w:val="dn"/>
          <w:rFonts w:ascii="Montserrat Medium" w:hAnsi="Montserrat Medium"/>
          <w:u w:val="single"/>
        </w:rPr>
        <w:t xml:space="preserve">Dodatku C </w:t>
      </w:r>
      <w:hyperlink r:id="rId20" w:history="1">
        <w:r w:rsidRPr="00AA6DCB">
          <w:rPr>
            <w:rStyle w:val="Hyperlink1"/>
            <w:rFonts w:ascii="Montserrat Medium" w:hAnsi="Montserrat Medium"/>
          </w:rPr>
          <w:t>v Nařízení Komise v přenesené pravomoci (EU) 2021/2139 ze dne 4. června 2021</w:t>
        </w:r>
      </w:hyperlink>
      <w:r w:rsidRPr="00AA6DCB">
        <w:rPr>
          <w:rStyle w:val="Hyperlink1"/>
          <w:rFonts w:ascii="Montserrat Medium" w:hAnsi="Montserrat Medium"/>
        </w:rPr>
        <w:t>.</w:t>
      </w:r>
      <w:r w:rsidRPr="00AA6DCB">
        <w:rPr>
          <w:rFonts w:ascii="Montserrat Medium" w:hAnsi="Montserrat Medium"/>
        </w:rPr>
        <w:t xml:space="preserve"> </w:t>
      </w:r>
    </w:p>
    <w:p w14:paraId="12644E02" w14:textId="77777777" w:rsidR="00A04B31" w:rsidRPr="00AA6DCB" w:rsidRDefault="00AC773C">
      <w:pPr>
        <w:keepNext/>
        <w:spacing w:before="120" w:after="120" w:line="240" w:lineRule="auto"/>
        <w:rPr>
          <w:rStyle w:val="dn"/>
          <w:rFonts w:ascii="Montserrat Medium" w:eastAsia="Montserrat Bold" w:hAnsi="Montserrat Medium" w:cs="Montserrat Bold"/>
        </w:rPr>
      </w:pPr>
      <w:r w:rsidRPr="00AA6DCB">
        <w:rPr>
          <w:rFonts w:ascii="Montserrat Medium" w:hAnsi="Montserrat Medium"/>
        </w:rPr>
        <w:t>Tabulka 5.2 Použité stavební materiály a nebezpečné látky</w:t>
      </w:r>
    </w:p>
    <w:p w14:paraId="2D11512F" w14:textId="77777777" w:rsidR="00A04B31" w:rsidRPr="00AA6DCB" w:rsidRDefault="00AC773C">
      <w:pPr>
        <w:spacing w:before="120" w:after="120"/>
        <w:rPr>
          <w:rStyle w:val="dn"/>
          <w:rFonts w:ascii="Montserrat Regular" w:eastAsia="Montserrat Regular" w:hAnsi="Montserrat Regular" w:cs="Montserrat Regular"/>
          <w:sz w:val="20"/>
          <w:szCs w:val="20"/>
        </w:rPr>
      </w:pPr>
      <w:r w:rsidRPr="00AA6DCB">
        <w:rPr>
          <w:rStyle w:val="dn"/>
          <w:rFonts w:ascii="Montserrat Regular" w:hAnsi="Montserrat Regular"/>
          <w:sz w:val="20"/>
          <w:szCs w:val="20"/>
        </w:rPr>
        <w:t>Tabulka se vyplňuje pouze po kolaudaci.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"/>
        <w:gridCol w:w="4436"/>
        <w:gridCol w:w="5103"/>
      </w:tblGrid>
      <w:tr w:rsidR="00A04B31" w:rsidRPr="00AA6DCB" w14:paraId="7D73E906" w14:textId="77777777" w:rsidTr="00ED4DF3">
        <w:trPr>
          <w:trHeight w:val="29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433B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Použité stavební materiály a nebezpečné látky</w:t>
            </w:r>
          </w:p>
        </w:tc>
      </w:tr>
      <w:tr w:rsidR="00ED4DF3" w:rsidRPr="00AA6DCB" w14:paraId="32285A07" w14:textId="77777777" w:rsidTr="00ED4DF3">
        <w:trPr>
          <w:trHeight w:val="61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8D07" w14:textId="77777777" w:rsidR="00ED4DF3" w:rsidRPr="00AA6DCB" w:rsidRDefault="00ED4DF3">
            <w:r w:rsidRPr="00AA6DCB">
              <w:rPr>
                <w:rStyle w:val="dn"/>
                <w:rFonts w:ascii="Montserrat Bold" w:hAnsi="Montserrat Bold"/>
              </w:rPr>
              <w:t>č.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3D80" w14:textId="77777777" w:rsidR="00ED4DF3" w:rsidRPr="00AA6DCB" w:rsidRDefault="00ED4DF3">
            <w:r w:rsidRPr="00AA6DCB">
              <w:rPr>
                <w:rStyle w:val="dn"/>
                <w:rFonts w:ascii="Montserrat Bold" w:hAnsi="Montserrat Bold"/>
              </w:rPr>
              <w:t>Stavební materiál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D2DE" w14:textId="77777777" w:rsidR="00ED4DF3" w:rsidRPr="00AA6DCB" w:rsidRDefault="00ED4DF3">
            <w:r w:rsidRPr="00AA6DCB">
              <w:rPr>
                <w:rStyle w:val="dn"/>
                <w:rFonts w:ascii="Montserrat Bold" w:hAnsi="Montserrat Bold"/>
              </w:rPr>
              <w:t>Název / číslo podpůrná dokumentace</w:t>
            </w:r>
          </w:p>
        </w:tc>
      </w:tr>
      <w:tr w:rsidR="00ED4DF3" w:rsidRPr="00AA6DCB" w14:paraId="265E0BC9" w14:textId="77777777" w:rsidTr="00ED4DF3">
        <w:trPr>
          <w:trHeight w:val="318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8E0B" w14:textId="77777777" w:rsidR="00ED4DF3" w:rsidRPr="00AA6DCB" w:rsidRDefault="00ED4DF3">
            <w:r w:rsidRPr="00AA6DCB">
              <w:rPr>
                <w:rStyle w:val="dn"/>
                <w:rFonts w:ascii="Montserrat Regular" w:hAnsi="Montserrat Regular"/>
              </w:rPr>
              <w:t>1.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0B1F" w14:textId="0E1EBF56" w:rsidR="00ED4DF3" w:rsidRPr="00AA6DCB" w:rsidRDefault="00ED4DF3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8988" w14:textId="0ACD7A49" w:rsidR="00ED4DF3" w:rsidRPr="00AA6DCB" w:rsidRDefault="00ED4DF3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D4DF3" w:rsidRPr="00AA6DCB" w14:paraId="239FEF12" w14:textId="77777777" w:rsidTr="00ED4DF3">
        <w:trPr>
          <w:trHeight w:val="29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EEA6" w14:textId="77777777" w:rsidR="00ED4DF3" w:rsidRPr="00AA6DCB" w:rsidRDefault="00ED4DF3">
            <w:r w:rsidRPr="00AA6DCB">
              <w:rPr>
                <w:rStyle w:val="dn"/>
                <w:rFonts w:ascii="Montserrat Regular" w:hAnsi="Montserrat Regular"/>
              </w:rPr>
              <w:t>2.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F481" w14:textId="77777777" w:rsidR="00ED4DF3" w:rsidRPr="00AA6DCB" w:rsidRDefault="00ED4DF3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7575" w14:textId="77777777" w:rsidR="00ED4DF3" w:rsidRPr="00AA6DCB" w:rsidRDefault="00ED4DF3"/>
        </w:tc>
      </w:tr>
      <w:tr w:rsidR="00ED4DF3" w:rsidRPr="00AA6DCB" w14:paraId="605988A5" w14:textId="77777777" w:rsidTr="00ED4DF3">
        <w:trPr>
          <w:trHeight w:val="29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545D" w14:textId="77777777" w:rsidR="00ED4DF3" w:rsidRPr="00AA6DCB" w:rsidRDefault="00ED4DF3">
            <w:r w:rsidRPr="00AA6DCB">
              <w:rPr>
                <w:rStyle w:val="dn"/>
                <w:rFonts w:ascii="Montserrat Regular" w:hAnsi="Montserrat Regular"/>
              </w:rPr>
              <w:t>3.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50EC" w14:textId="77777777" w:rsidR="00ED4DF3" w:rsidRPr="00AA6DCB" w:rsidRDefault="00ED4DF3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D2B1" w14:textId="77777777" w:rsidR="00ED4DF3" w:rsidRPr="00AA6DCB" w:rsidRDefault="00ED4DF3"/>
        </w:tc>
      </w:tr>
      <w:tr w:rsidR="00A04B31" w:rsidRPr="00AA6DCB" w14:paraId="487A0E33" w14:textId="77777777" w:rsidTr="00ED4DF3">
        <w:trPr>
          <w:trHeight w:val="29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1E0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0BCDB80C" w14:textId="6E1A5BBB" w:rsidR="00ED4DF3" w:rsidRDefault="00ED4DF3">
      <w:pPr>
        <w:spacing w:before="120"/>
        <w:rPr>
          <w:rStyle w:val="dn"/>
          <w:rFonts w:ascii="Montserrat Regular" w:hAnsi="Montserrat Regular" w:hint="eastAsia"/>
          <w:color w:val="727272"/>
          <w:sz w:val="20"/>
          <w:szCs w:val="20"/>
        </w:rPr>
      </w:pPr>
      <w:r w:rsidRPr="00E91B60">
        <w:rPr>
          <w:rStyle w:val="dn"/>
          <w:rFonts w:ascii="Montserrat Regular" w:hAnsi="Montserrat Regular"/>
          <w:color w:val="727272"/>
          <w:sz w:val="20"/>
          <w:szCs w:val="20"/>
        </w:rPr>
        <w:t>Tabulka se vyplňuje pro materiály, které jsou v projektu použity v největším objemu a finančním objemu, případně pro rizikové materiály z hlediska nebezpečných látek. Vyplňte minimálně 7 skupin materiálů včetně technických listů či certifikátů jako EPD, FSC a další. Materiálové listy pro různé typy dané skupiny materiálů můžete nahrát jako jeden soubor.</w:t>
      </w:r>
    </w:p>
    <w:p w14:paraId="0D7F91D2" w14:textId="2D7C1210" w:rsidR="00A04B31" w:rsidRPr="00AA6DCB" w:rsidRDefault="00AC773C">
      <w:pPr>
        <w:spacing w:before="120"/>
        <w:rPr>
          <w:rStyle w:val="dn"/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V případě odběru vzorků se doloží shrnutí výsledků a porovnání s limity škodlivin dle českých právních předpisů. V případě překročení limitů se doloží nakládání s kontaminovaným materiálem v souladu s českou legislativou. </w:t>
      </w:r>
    </w:p>
    <w:p w14:paraId="6C577DBE" w14:textId="77777777" w:rsidR="00ED4DF3" w:rsidRDefault="00ED4DF3">
      <w:pPr>
        <w:keepNext/>
        <w:spacing w:before="120" w:after="120" w:line="240" w:lineRule="auto"/>
        <w:rPr>
          <w:rFonts w:ascii="Montserrat Medium" w:hAnsi="Montserrat Medium"/>
        </w:rPr>
      </w:pPr>
    </w:p>
    <w:p w14:paraId="346853E3" w14:textId="221DCD3E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5.3 Opatření snižující hluk, prach a emise znečišťujících látek</w:t>
      </w:r>
    </w:p>
    <w:tbl>
      <w:tblPr>
        <w:tblStyle w:val="TableNormal"/>
        <w:tblW w:w="9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114"/>
        <w:gridCol w:w="2693"/>
      </w:tblGrid>
      <w:tr w:rsidR="00A04B31" w:rsidRPr="00AA6DCB" w14:paraId="0726BFD1" w14:textId="77777777">
        <w:trPr>
          <w:trHeight w:val="290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FDE3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snižující hluk, prach a emise znečišťujících látek</w:t>
            </w:r>
          </w:p>
        </w:tc>
      </w:tr>
      <w:tr w:rsidR="00A04B31" w:rsidRPr="00AA6DCB" w14:paraId="61F80776" w14:textId="77777777">
        <w:trPr>
          <w:trHeight w:val="9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59F0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Typ zátěže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420D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Přijaté opatření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BBEB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Popis opatření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2659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Název / číslo podpůrné dokumentace</w:t>
            </w:r>
          </w:p>
        </w:tc>
      </w:tr>
      <w:tr w:rsidR="00A04B31" w:rsidRPr="00AA6DCB" w14:paraId="317D7470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1FA0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lastRenderedPageBreak/>
              <w:t xml:space="preserve">Hluk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E3DD" w14:textId="2BFFCB2D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6B9B" w14:textId="333B40D4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ED62" w14:textId="4D43DB47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667FDB10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AA21" w14:textId="77777777" w:rsidR="00A04B31" w:rsidRPr="00AA6DCB" w:rsidRDefault="00A04B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8BBA" w14:textId="77777777" w:rsidR="00A04B31" w:rsidRPr="00AA6DCB" w:rsidRDefault="00A04B31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534F" w14:textId="77777777" w:rsidR="00A04B31" w:rsidRPr="00AA6DCB" w:rsidRDefault="00A04B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D763" w14:textId="77777777" w:rsidR="00A04B31" w:rsidRPr="00AA6DCB" w:rsidRDefault="00A04B31"/>
        </w:tc>
      </w:tr>
      <w:tr w:rsidR="00A04B31" w:rsidRPr="00AA6DCB" w14:paraId="1F4F9449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D671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Prach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6A0E3" w14:textId="1A6A866A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1DA0" w14:textId="0ED0F165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206" w14:textId="4A91E769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167A35D2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81C5" w14:textId="77777777" w:rsidR="00A04B31" w:rsidRPr="00AA6DCB" w:rsidRDefault="00A04B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46D2" w14:textId="77777777" w:rsidR="00A04B31" w:rsidRPr="00AA6DCB" w:rsidRDefault="00A04B31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C17A" w14:textId="77777777" w:rsidR="00A04B31" w:rsidRPr="00AA6DCB" w:rsidRDefault="00A04B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4154" w14:textId="77777777" w:rsidR="00A04B31" w:rsidRPr="00AA6DCB" w:rsidRDefault="00A04B31"/>
        </w:tc>
      </w:tr>
      <w:tr w:rsidR="00A04B31" w:rsidRPr="00AA6DCB" w14:paraId="3B5BFEF8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67F8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Emise znečišťujících látek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7526" w14:textId="518C8C82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2DC3" w14:textId="0141C96E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6E86" w14:textId="4DA0EB2A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39AB520E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4656" w14:textId="77777777" w:rsidR="00A04B31" w:rsidRPr="00AA6DCB" w:rsidRDefault="00A04B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2DB3" w14:textId="77777777" w:rsidR="00A04B31" w:rsidRPr="00AA6DCB" w:rsidRDefault="00A04B31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1C6" w14:textId="77777777" w:rsidR="00A04B31" w:rsidRPr="00AA6DCB" w:rsidRDefault="00A04B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5B9B" w14:textId="77777777" w:rsidR="00A04B31" w:rsidRPr="00AA6DCB" w:rsidRDefault="00A04B31"/>
        </w:tc>
      </w:tr>
    </w:tbl>
    <w:p w14:paraId="48C389B0" w14:textId="425883A7" w:rsidR="007F612F" w:rsidRPr="00AA6DCB" w:rsidRDefault="00AC773C">
      <w:pPr>
        <w:spacing w:before="24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Klient popíše, jaká byla přijata opatření ke snížení hluku, prachu a emisí znečišťujících látek při stavebních, demoličních (</w:t>
      </w:r>
      <w:proofErr w:type="spellStart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dekonstrukčních</w:t>
      </w:r>
      <w:proofErr w:type="spellEnd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) nebo údržbářských pracích. Dle zákona 201/2012 Sb.,</w:t>
      </w:r>
      <w:r w:rsidR="00976734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o ochraně ovzduší, se za znečišťující látku považuje každá látka, která svou přítomností v ovzduší má nebo může mít škodlivé účinky na lidské zdraví nebo životní prostředí anebo obtěžuje zápachem. </w:t>
      </w:r>
    </w:p>
    <w:p w14:paraId="1085F5A3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O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CHRANA A OBNOVA BIOLOGICKÉ ROZMANITOSTI A EKOSYSTÉMŮ</w:t>
      </w:r>
    </w:p>
    <w:p w14:paraId="7E2D39BD" w14:textId="77777777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</w:t>
      </w:r>
    </w:p>
    <w:p w14:paraId="280D0B76" w14:textId="77777777" w:rsidR="00A04B31" w:rsidRPr="00AA6DCB" w:rsidRDefault="00AC773C">
      <w:pPr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6.1 Průzkumy biodiverzity a zjišťovací řízení v rámci procesu EIA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304F7E8B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74D4" w14:textId="77777777" w:rsidR="00A04B31" w:rsidRPr="00AA6DCB" w:rsidRDefault="00AC773C">
            <w:r w:rsidRPr="00AA6DCB">
              <w:rPr>
                <w:rStyle w:val="dn"/>
                <w:rFonts w:ascii="Montserrat Regular" w:hAnsi="Montserrat Regular"/>
              </w:rPr>
              <w:t>Průzkumy biodiverzity požadované v rámci povolovacího řízení (například dendrologický průzkum, průzkum zvláště chráněných rostlin a živočichů a podobně).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D04" w14:textId="0D23CFFB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3997A739" w14:textId="77777777">
        <w:trPr>
          <w:trHeight w:val="5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5709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Je pro projekt prováděno Zjišťovací řízení v rámci procesu EIA?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EB7C" w14:textId="7B056344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</w:tr>
      <w:tr w:rsidR="00A04B31" w:rsidRPr="00AA6DCB" w14:paraId="3F44F068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11DF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 xml:space="preserve">Název/číslo dokumentu obsahující závěry Zjišťovacího řízení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5B85" w14:textId="5338B394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680A43B6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9F9F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opatření v projektu dle závěrů Zjišťovacího řízení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686F" w14:textId="6A90421C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76757F47" w14:textId="77777777" w:rsidR="00B20B04" w:rsidRPr="00AA6DCB" w:rsidRDefault="00B20B04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14A0AEA6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6.2 Pozemky a opatření na obnovu a ochranu biodiverzity</w:t>
      </w:r>
    </w:p>
    <w:tbl>
      <w:tblPr>
        <w:tblStyle w:val="TableNormal"/>
        <w:tblW w:w="9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110"/>
        <w:gridCol w:w="1672"/>
        <w:gridCol w:w="1206"/>
        <w:gridCol w:w="2950"/>
      </w:tblGrid>
      <w:tr w:rsidR="00A04B31" w:rsidRPr="00AA6DCB" w14:paraId="2EDD5F5E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C07D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na obnovu a ochranu biodiverzity</w:t>
            </w:r>
          </w:p>
        </w:tc>
      </w:tr>
      <w:tr w:rsidR="00A04B31" w:rsidRPr="00AA6DCB" w14:paraId="141AAC25" w14:textId="77777777">
        <w:trPr>
          <w:trHeight w:val="9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589C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lastRenderedPageBreak/>
              <w:t>Parcelní čísla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531C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Druh pozemků (dle KN)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0529" w14:textId="77777777" w:rsidR="00A04B31" w:rsidRPr="00AA6DCB" w:rsidRDefault="00AC773C">
            <w:pPr>
              <w:rPr>
                <w:rStyle w:val="dn"/>
                <w:rFonts w:ascii="Montserrat Bold" w:eastAsia="Montserrat Bold" w:hAnsi="Montserrat Bold" w:cs="Montserrat Bold"/>
              </w:rPr>
            </w:pPr>
            <w:r w:rsidRPr="00AA6DCB">
              <w:rPr>
                <w:rStyle w:val="dn"/>
                <w:rFonts w:ascii="Montserrat Bold" w:hAnsi="Montserrat Bold"/>
              </w:rPr>
              <w:t>Třída ochrany zemědělského půdního fondu dle BPEJ</w:t>
            </w:r>
          </w:p>
          <w:p w14:paraId="3DC39AE9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(I. nejvyšší – V. </w:t>
            </w:r>
            <w:proofErr w:type="gramStart"/>
            <w:r w:rsidRPr="00AA6DCB">
              <w:rPr>
                <w:rStyle w:val="dn"/>
                <w:rFonts w:ascii="Montserrat Bold" w:hAnsi="Montserrat Bold"/>
              </w:rPr>
              <w:t>nejnižší)*</w:t>
            </w:r>
            <w:proofErr w:type="gramEnd"/>
          </w:p>
        </w:tc>
      </w:tr>
      <w:tr w:rsidR="00A04B31" w:rsidRPr="00AA6DCB" w14:paraId="645B1529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D690" w14:textId="77777777" w:rsidR="00A04B31" w:rsidRPr="00AA6DCB" w:rsidRDefault="00A04B31"/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4B52" w14:textId="77777777" w:rsidR="00A04B31" w:rsidRPr="00AA6DCB" w:rsidRDefault="00A04B31"/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700B" w14:textId="77777777" w:rsidR="00A04B31" w:rsidRPr="00AA6DCB" w:rsidRDefault="00A04B31"/>
        </w:tc>
      </w:tr>
      <w:tr w:rsidR="00A04B31" w:rsidRPr="00AA6DCB" w14:paraId="7D19F70B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A475" w14:textId="77777777" w:rsidR="00A04B31" w:rsidRPr="00AA6DCB" w:rsidRDefault="00A04B31"/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D8D1" w14:textId="77777777" w:rsidR="00A04B31" w:rsidRPr="00AA6DCB" w:rsidRDefault="00A04B31"/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D298" w14:textId="77777777" w:rsidR="00A04B31" w:rsidRPr="00AA6DCB" w:rsidRDefault="00A04B31"/>
        </w:tc>
      </w:tr>
      <w:tr w:rsidR="00A04B31" w:rsidRPr="00AA6DCB" w14:paraId="0283ADC5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5B6D" w14:textId="77777777" w:rsidR="00A04B31" w:rsidRPr="00AA6DCB" w:rsidRDefault="00A04B31"/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5D4F" w14:textId="77777777" w:rsidR="00A04B31" w:rsidRPr="00AA6DCB" w:rsidRDefault="00A04B31"/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6B15" w14:textId="77777777" w:rsidR="00A04B31" w:rsidRPr="00AA6DCB" w:rsidRDefault="00A04B31"/>
        </w:tc>
      </w:tr>
      <w:tr w:rsidR="00A04B31" w:rsidRPr="00AA6DCB" w14:paraId="7F5BF429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0755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</w:rPr>
              <w:t>Řádky se doplňují dle potřeby projektu</w:t>
            </w:r>
          </w:p>
        </w:tc>
      </w:tr>
      <w:tr w:rsidR="00A04B31" w:rsidRPr="00AA6DCB" w14:paraId="368ED931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C727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 xml:space="preserve">Přijatá opatření </w:t>
            </w:r>
          </w:p>
        </w:tc>
      </w:tr>
      <w:tr w:rsidR="00A04B31" w:rsidRPr="00AA6DCB" w14:paraId="2BF4BA94" w14:textId="77777777">
        <w:trPr>
          <w:trHeight w:val="6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0538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Parcelní čísla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F5B6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Opatření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FBB8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Popis opatření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88F4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Název / číslo podpůrná dokumentace</w:t>
            </w:r>
          </w:p>
        </w:tc>
      </w:tr>
      <w:tr w:rsidR="00A04B31" w:rsidRPr="00AA6DCB" w14:paraId="6CC1C5B8" w14:textId="77777777">
        <w:trPr>
          <w:trHeight w:val="1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39C" w14:textId="77777777" w:rsidR="00A04B31" w:rsidRPr="00AA6DCB" w:rsidRDefault="00A04B31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AB54" w14:textId="09F0C214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7F53" w14:textId="6FDFE58C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4368" w14:textId="0017CD0B" w:rsidR="00A04B31" w:rsidRPr="00AA6DCB" w:rsidRDefault="00E3355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5B7D17BB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14FC" w14:textId="77777777" w:rsidR="00A04B31" w:rsidRPr="00AA6DCB" w:rsidRDefault="00A04B31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EC2C" w14:textId="77777777" w:rsidR="00A04B31" w:rsidRPr="00AA6DCB" w:rsidRDefault="00A04B31"/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5203" w14:textId="77777777" w:rsidR="00A04B31" w:rsidRPr="00AA6DCB" w:rsidRDefault="00A04B31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2ADB" w14:textId="77777777" w:rsidR="00A04B31" w:rsidRPr="00AA6DCB" w:rsidRDefault="00A04B31"/>
        </w:tc>
      </w:tr>
      <w:tr w:rsidR="00A04B31" w:rsidRPr="00AA6DCB" w14:paraId="59604E92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4AA8" w14:textId="77777777" w:rsidR="00A04B31" w:rsidRPr="00AA6DCB" w:rsidRDefault="00A04B31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F42F" w14:textId="77777777" w:rsidR="00A04B31" w:rsidRPr="00AA6DCB" w:rsidRDefault="00A04B31"/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9127" w14:textId="77777777" w:rsidR="00A04B31" w:rsidRPr="00AA6DCB" w:rsidRDefault="00A04B31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7C75" w14:textId="77777777" w:rsidR="00A04B31" w:rsidRPr="00AA6DCB" w:rsidRDefault="00A04B31"/>
        </w:tc>
      </w:tr>
      <w:tr w:rsidR="00A04B31" w:rsidRPr="00AA6DCB" w14:paraId="1B0AC654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2E79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07674D5A" w14:textId="77777777" w:rsidR="00B20B04" w:rsidRPr="00AA6DCB" w:rsidRDefault="00B20B04">
      <w:pPr>
        <w:rPr>
          <w:rStyle w:val="dn"/>
          <w:rFonts w:ascii="Montserrat Bold" w:eastAsia="Montserrat Bold" w:hAnsi="Montserrat Bold" w:cs="Montserrat Bold"/>
        </w:rPr>
      </w:pPr>
    </w:p>
    <w:p w14:paraId="210F1817" w14:textId="77777777" w:rsidR="00A04B31" w:rsidRPr="00AA6DCB" w:rsidRDefault="00AC773C"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V případě výstavby na pozemcích se zemědělskou půdou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I. a II. třídy 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ochrany dle BPEJ investor doloží situační mapy s klasifikací půd indexem BPEJ. V případě výstavby uvnitř hranice lesa investor doloží situační výkres a obhajobu kritérií </w:t>
      </w:r>
      <w:hyperlink r:id="rId21" w:history="1">
        <w:r w:rsidRPr="00AA6DCB">
          <w:rPr>
            <w:rStyle w:val="Hyperlink2"/>
            <w:color w:val="727272"/>
            <w:sz w:val="20"/>
            <w:szCs w:val="20"/>
          </w:rPr>
          <w:t>FAO 2020</w:t>
        </w:r>
      </w:hyperlink>
      <w:r w:rsidRPr="00AA6DCB">
        <w:rPr>
          <w:rStyle w:val="Hyperlink2"/>
          <w:color w:val="727272"/>
          <w:sz w:val="20"/>
          <w:szCs w:val="20"/>
        </w:rPr>
        <w:t>.</w:t>
      </w:r>
    </w:p>
    <w:sectPr w:rsidR="00A04B31" w:rsidRPr="00AA6DCB">
      <w:footerReference w:type="default" r:id="rId22"/>
      <w:headerReference w:type="first" r:id="rId23"/>
      <w:pgSz w:w="11900" w:h="16840"/>
      <w:pgMar w:top="1361" w:right="1043" w:bottom="284" w:left="992" w:header="170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4E30" w14:textId="77777777" w:rsidR="00694E2B" w:rsidRDefault="00694E2B">
      <w:pPr>
        <w:spacing w:line="240" w:lineRule="auto"/>
      </w:pPr>
      <w:r>
        <w:separator/>
      </w:r>
    </w:p>
  </w:endnote>
  <w:endnote w:type="continuationSeparator" w:id="0">
    <w:p w14:paraId="61332DCF" w14:textId="77777777" w:rsidR="00694E2B" w:rsidRDefault="0069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Montserrat Bold">
    <w:altName w:val="Montserrat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20B0604020202020204"/>
    <w:charset w:val="01"/>
    <w:family w:val="auto"/>
    <w:pitch w:val="variable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8381" w14:textId="77777777" w:rsidR="00AC773C" w:rsidRDefault="00AC773C">
    <w:pPr>
      <w:tabs>
        <w:tab w:val="center" w:pos="4536"/>
        <w:tab w:val="right" w:pos="9072"/>
      </w:tabs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lang w:val="de-DE"/>
      </w:rPr>
      <w:t xml:space="preserve"> z</w:t>
    </w:r>
    <w:r>
      <w:t> 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6279" w14:textId="77777777" w:rsidR="00694E2B" w:rsidRDefault="00694E2B">
      <w:pPr>
        <w:spacing w:line="240" w:lineRule="auto"/>
      </w:pPr>
      <w:r>
        <w:separator/>
      </w:r>
    </w:p>
  </w:footnote>
  <w:footnote w:type="continuationSeparator" w:id="0">
    <w:p w14:paraId="5891AA07" w14:textId="77777777" w:rsidR="00694E2B" w:rsidRDefault="0069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E5E5" w14:textId="273E2BB7" w:rsidR="00AC773C" w:rsidRDefault="00AA6DCB">
    <w:pPr>
      <w:pStyle w:val="Zhlavazpat"/>
    </w:pPr>
    <w:r>
      <w:rPr>
        <w:rFonts w:ascii="Montserrat Regular" w:eastAsia="Montserrat Regular" w:hAnsi="Montserrat Regular" w:cs="Montserrat Regular"/>
        <w:noProof/>
      </w:rPr>
      <w:drawing>
        <wp:anchor distT="152400" distB="152400" distL="152400" distR="152400" simplePos="0" relativeHeight="251659264" behindDoc="0" locked="0" layoutInCell="1" allowOverlap="1" wp14:anchorId="171FD690" wp14:editId="7A21CBC3">
          <wp:simplePos x="0" y="0"/>
          <wp:positionH relativeFrom="margin">
            <wp:posOffset>-368300</wp:posOffset>
          </wp:positionH>
          <wp:positionV relativeFrom="line">
            <wp:posOffset>-660400</wp:posOffset>
          </wp:positionV>
          <wp:extent cx="7014051" cy="828006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 descr="vložený-obrá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4051" cy="828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527"/>
    <w:multiLevelType w:val="hybridMultilevel"/>
    <w:tmpl w:val="CC6C01DC"/>
    <w:numStyleLink w:val="Importovanstyl2"/>
  </w:abstractNum>
  <w:abstractNum w:abstractNumId="1" w15:restartNumberingAfterBreak="0">
    <w:nsid w:val="05052EF7"/>
    <w:multiLevelType w:val="multilevel"/>
    <w:tmpl w:val="15CCAA4A"/>
    <w:numStyleLink w:val="Importovanstyl3"/>
  </w:abstractNum>
  <w:abstractNum w:abstractNumId="2" w15:restartNumberingAfterBreak="0">
    <w:nsid w:val="1C977DC4"/>
    <w:multiLevelType w:val="hybridMultilevel"/>
    <w:tmpl w:val="89340EBC"/>
    <w:numStyleLink w:val="Importovanstyl5"/>
  </w:abstractNum>
  <w:abstractNum w:abstractNumId="3" w15:restartNumberingAfterBreak="0">
    <w:nsid w:val="29D63FA5"/>
    <w:multiLevelType w:val="hybridMultilevel"/>
    <w:tmpl w:val="CC6C01DC"/>
    <w:styleLink w:val="Importovanstyl2"/>
    <w:lvl w:ilvl="0" w:tplc="C42C7D1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04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E4720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65F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E927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ACE1A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CFE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E71F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8223E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4B36C5"/>
    <w:multiLevelType w:val="hybridMultilevel"/>
    <w:tmpl w:val="D674C99C"/>
    <w:lvl w:ilvl="0" w:tplc="FDA8DCF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03D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019A4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67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6778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628EC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6673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7C3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624D4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E0000C"/>
    <w:multiLevelType w:val="multilevel"/>
    <w:tmpl w:val="15CCAA4A"/>
    <w:styleLink w:val="Importovan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27" w:hanging="327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073050"/>
    <w:multiLevelType w:val="multilevel"/>
    <w:tmpl w:val="82A2DF5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eastAsia="Arial Unicode MS" w:cs="Arial Unicode MS"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eastAsia="Arial Unicode MS"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eastAsia="Arial Unicode MS"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eastAsia="Arial Unicode MS"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eastAsia="Arial Unicode MS"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eastAsia="Arial Unicode MS"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eastAsia="Arial Unicode MS"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eastAsia="Arial Unicode MS" w:cs="Arial Unicode MS" w:hint="default"/>
      </w:rPr>
    </w:lvl>
  </w:abstractNum>
  <w:abstractNum w:abstractNumId="7" w15:restartNumberingAfterBreak="0">
    <w:nsid w:val="78B16F7C"/>
    <w:multiLevelType w:val="hybridMultilevel"/>
    <w:tmpl w:val="89340EBC"/>
    <w:styleLink w:val="Importovanstyl5"/>
    <w:lvl w:ilvl="0" w:tplc="B2CCC346">
      <w:start w:val="1"/>
      <w:numFmt w:val="bullet"/>
      <w:lvlText w:val="o"/>
      <w:lvlJc w:val="left"/>
      <w:pPr>
        <w:ind w:left="35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DC23B0">
      <w:start w:val="1"/>
      <w:numFmt w:val="bullet"/>
      <w:lvlText w:val="○"/>
      <w:lvlJc w:val="left"/>
      <w:pPr>
        <w:ind w:left="10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A90E0">
      <w:start w:val="1"/>
      <w:numFmt w:val="bullet"/>
      <w:lvlText w:val="■"/>
      <w:lvlJc w:val="left"/>
      <w:pPr>
        <w:ind w:left="17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3CD94A">
      <w:start w:val="1"/>
      <w:numFmt w:val="bullet"/>
      <w:lvlText w:val="●"/>
      <w:lvlJc w:val="left"/>
      <w:pPr>
        <w:ind w:left="24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2CB18">
      <w:start w:val="1"/>
      <w:numFmt w:val="bullet"/>
      <w:lvlText w:val="○"/>
      <w:lvlJc w:val="left"/>
      <w:pPr>
        <w:ind w:left="320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A0902">
      <w:start w:val="1"/>
      <w:numFmt w:val="bullet"/>
      <w:lvlText w:val="■"/>
      <w:lvlJc w:val="left"/>
      <w:pPr>
        <w:ind w:left="392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A2B4C">
      <w:start w:val="1"/>
      <w:numFmt w:val="bullet"/>
      <w:lvlText w:val="●"/>
      <w:lvlJc w:val="left"/>
      <w:pPr>
        <w:ind w:left="46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0C3FC">
      <w:start w:val="1"/>
      <w:numFmt w:val="bullet"/>
      <w:lvlText w:val="○"/>
      <w:lvlJc w:val="left"/>
      <w:pPr>
        <w:ind w:left="53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4411A">
      <w:start w:val="1"/>
      <w:numFmt w:val="bullet"/>
      <w:lvlText w:val="■"/>
      <w:lvlJc w:val="left"/>
      <w:pPr>
        <w:ind w:left="60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4968377">
    <w:abstractNumId w:val="3"/>
  </w:num>
  <w:num w:numId="2" w16cid:durableId="357852110">
    <w:abstractNumId w:val="0"/>
  </w:num>
  <w:num w:numId="3" w16cid:durableId="398208687">
    <w:abstractNumId w:val="5"/>
  </w:num>
  <w:num w:numId="4" w16cid:durableId="752432344">
    <w:abstractNumId w:val="1"/>
  </w:num>
  <w:num w:numId="5" w16cid:durableId="711341307">
    <w:abstractNumId w:val="1"/>
    <w:lvlOverride w:ilvl="1">
      <w:startOverride w:val="2"/>
    </w:lvlOverride>
  </w:num>
  <w:num w:numId="6" w16cid:durableId="1582062762">
    <w:abstractNumId w:val="4"/>
  </w:num>
  <w:num w:numId="7" w16cid:durableId="2015104853">
    <w:abstractNumId w:val="4"/>
    <w:lvlOverride w:ilvl="0">
      <w:startOverride w:val="4"/>
    </w:lvlOverride>
  </w:num>
  <w:num w:numId="8" w16cid:durableId="181433574">
    <w:abstractNumId w:val="1"/>
    <w:lvlOverride w:ilvl="1">
      <w:startOverride w:val="3"/>
    </w:lvlOverride>
  </w:num>
  <w:num w:numId="9" w16cid:durableId="1961766359">
    <w:abstractNumId w:val="7"/>
  </w:num>
  <w:num w:numId="10" w16cid:durableId="1148283374">
    <w:abstractNumId w:val="2"/>
  </w:num>
  <w:num w:numId="11" w16cid:durableId="45881761">
    <w:abstractNumId w:val="1"/>
    <w:lvlOverride w:ilvl="1">
      <w:startOverride w:val="4"/>
    </w:lvlOverride>
  </w:num>
  <w:num w:numId="12" w16cid:durableId="591820912">
    <w:abstractNumId w:val="1"/>
    <w:lvlOverride w:ilvl="1">
      <w:startOverride w:val="5"/>
    </w:lvlOverride>
  </w:num>
  <w:num w:numId="13" w16cid:durableId="273288084">
    <w:abstractNumId w:val="1"/>
    <w:lvlOverride w:ilvl="1">
      <w:startOverride w:val="6"/>
    </w:lvlOverride>
  </w:num>
  <w:num w:numId="14" w16cid:durableId="1909608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31"/>
    <w:rsid w:val="00065E1C"/>
    <w:rsid w:val="00072ECC"/>
    <w:rsid w:val="000757F3"/>
    <w:rsid w:val="00085DB4"/>
    <w:rsid w:val="000C2874"/>
    <w:rsid w:val="001203C0"/>
    <w:rsid w:val="001758C8"/>
    <w:rsid w:val="00197F84"/>
    <w:rsid w:val="0035007D"/>
    <w:rsid w:val="00390BB1"/>
    <w:rsid w:val="003B1CA1"/>
    <w:rsid w:val="003C60FC"/>
    <w:rsid w:val="0041102E"/>
    <w:rsid w:val="0046473B"/>
    <w:rsid w:val="00553F3D"/>
    <w:rsid w:val="0060549B"/>
    <w:rsid w:val="00676750"/>
    <w:rsid w:val="00677CFA"/>
    <w:rsid w:val="00694E2B"/>
    <w:rsid w:val="00707CED"/>
    <w:rsid w:val="0074308A"/>
    <w:rsid w:val="00753D49"/>
    <w:rsid w:val="007E2A76"/>
    <w:rsid w:val="007F612F"/>
    <w:rsid w:val="00976734"/>
    <w:rsid w:val="00A04B31"/>
    <w:rsid w:val="00A27681"/>
    <w:rsid w:val="00AA6DCB"/>
    <w:rsid w:val="00AC773C"/>
    <w:rsid w:val="00B15C6E"/>
    <w:rsid w:val="00B20B04"/>
    <w:rsid w:val="00C0408E"/>
    <w:rsid w:val="00C2560A"/>
    <w:rsid w:val="00CD582E"/>
    <w:rsid w:val="00D15D44"/>
    <w:rsid w:val="00DD6906"/>
    <w:rsid w:val="00E0535F"/>
    <w:rsid w:val="00E3355A"/>
    <w:rsid w:val="00EA18DF"/>
    <w:rsid w:val="00EB3F69"/>
    <w:rsid w:val="00ED4DF3"/>
    <w:rsid w:val="00F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E8E"/>
  <w15:docId w15:val="{83B06899-9CF4-F247-95EA-EE12D499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pPr>
      <w:keepNext/>
      <w:tabs>
        <w:tab w:val="left" w:pos="20"/>
        <w:tab w:val="left" w:pos="426"/>
      </w:tabs>
      <w:spacing w:before="240" w:after="120" w:line="276" w:lineRule="auto"/>
      <w:ind w:left="360" w:hanging="360"/>
      <w:outlineLvl w:val="1"/>
    </w:pPr>
    <w:rPr>
      <w:rFonts w:ascii="Montserrat Bold" w:hAnsi="Montserrat Bold" w:cs="Arial Unicode MS"/>
      <w:smallCaps/>
      <w:color w:val="205968"/>
      <w:u w:color="20596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next w:val="Text"/>
    <w:pPr>
      <w:spacing w:line="276" w:lineRule="auto"/>
    </w:pPr>
    <w:rPr>
      <w:rFonts w:ascii="Montserrat Bold" w:hAnsi="Montserrat Bold" w:cs="Arial Unicode MS"/>
      <w:i/>
      <w:iCs/>
      <w:smallCaps/>
      <w:color w:val="000000"/>
      <w:sz w:val="28"/>
      <w:szCs w:val="28"/>
      <w:u w:color="000000"/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Nadpis">
    <w:name w:val="Nadpis"/>
    <w:pPr>
      <w:suppressAutoHyphens/>
      <w:spacing w:line="276" w:lineRule="auto"/>
      <w:outlineLvl w:val="0"/>
    </w:pPr>
    <w:rPr>
      <w:rFonts w:ascii="Avenir Heavy" w:hAnsi="Avenir Heavy" w:cs="Arial Unicode MS"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rPr>
      <w:rFonts w:ascii="Montserrat SemiBold" w:eastAsia="Montserrat SemiBold" w:hAnsi="Montserrat SemiBold" w:cs="Montserrat SemiBold"/>
    </w:rPr>
  </w:style>
  <w:style w:type="character" w:customStyle="1" w:styleId="Hyperlink1">
    <w:name w:val="Hyperlink.1"/>
    <w:basedOn w:val="dn"/>
    <w:rPr>
      <w:u w:val="single"/>
    </w:rPr>
  </w:style>
  <w:style w:type="character" w:customStyle="1" w:styleId="Hyperlink2">
    <w:name w:val="Hyperlink.2"/>
    <w:basedOn w:val="dn"/>
    <w:rPr>
      <w:rFonts w:ascii="Montserrat Bold" w:eastAsia="Montserrat Bold" w:hAnsi="Montserrat Bold" w:cs="Montserrat Bold"/>
    </w:rPr>
  </w:style>
  <w:style w:type="paragraph" w:styleId="Zhlav">
    <w:name w:val="header"/>
    <w:basedOn w:val="Normln"/>
    <w:link w:val="Zhlav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1203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6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6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0FC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0FC"/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o.org/interactive/forest-resources-assessment/2020/e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eur-lex.europa.eu/legal-content/cs/TXT/?uri=CELEX:32021R21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CS/TXT/PDF/?uri=OJ:C_202300267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CS/TXT/PDF/?uri=CELEX:32000L00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387c9-fd1d-4a15-a7d1-2b63931d8a4d" xsi:nil="true"/>
    <lcf76f155ced4ddcb4097134ff3c332f xmlns="ba4d59b7-58e8-4cd5-84fd-86bbfb386b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3ACBE65F61C4DBC9592579CD076E5" ma:contentTypeVersion="11" ma:contentTypeDescription="Create a new document." ma:contentTypeScope="" ma:versionID="a8d89e257f26e5120bbdcdbc150516f8">
  <xsd:schema xmlns:xsd="http://www.w3.org/2001/XMLSchema" xmlns:xs="http://www.w3.org/2001/XMLSchema" xmlns:p="http://schemas.microsoft.com/office/2006/metadata/properties" xmlns:ns2="ba4d59b7-58e8-4cd5-84fd-86bbfb386bc5" xmlns:ns3="edf387c9-fd1d-4a15-a7d1-2b63931d8a4d" targetNamespace="http://schemas.microsoft.com/office/2006/metadata/properties" ma:root="true" ma:fieldsID="715804e5da664b904efb4165a2540c54" ns2:_="" ns3:_="">
    <xsd:import namespace="ba4d59b7-58e8-4cd5-84fd-86bbfb386bc5"/>
    <xsd:import namespace="edf387c9-fd1d-4a15-a7d1-2b63931d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d59b7-58e8-4cd5-84fd-86bbfb38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2ff69e-c7fc-48b4-9994-1787c8978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87c9-fd1d-4a15-a7d1-2b63931d8a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d5f966-be2d-493b-98de-463882f80415}" ma:internalName="TaxCatchAll" ma:showField="CatchAllData" ma:web="edf387c9-fd1d-4a15-a7d1-2b63931d8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A820E-A387-0C4F-8DFD-166747C57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C61A6-C513-42B2-8543-2BE545820D17}">
  <ds:schemaRefs>
    <ds:schemaRef ds:uri="http://schemas.microsoft.com/office/2006/metadata/properties"/>
    <ds:schemaRef ds:uri="http://schemas.microsoft.com/office/infopath/2007/PartnerControls"/>
    <ds:schemaRef ds:uri="edf387c9-fd1d-4a15-a7d1-2b63931d8a4d"/>
    <ds:schemaRef ds:uri="ba4d59b7-58e8-4cd5-84fd-86bbfb386bc5"/>
  </ds:schemaRefs>
</ds:datastoreItem>
</file>

<file path=customXml/itemProps3.xml><?xml version="1.0" encoding="utf-8"?>
<ds:datastoreItem xmlns:ds="http://schemas.openxmlformats.org/officeDocument/2006/customXml" ds:itemID="{0B6B315F-8C11-475E-9288-7F35FBCD723D}"/>
</file>

<file path=customXml/itemProps4.xml><?xml version="1.0" encoding="utf-8"?>
<ds:datastoreItem xmlns:ds="http://schemas.openxmlformats.org/officeDocument/2006/customXml" ds:itemID="{7F6041F8-8645-4716-9190-A66B1F464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2061</Words>
  <Characters>12164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Kateřina Eklová</cp:lastModifiedBy>
  <cp:revision>7</cp:revision>
  <dcterms:created xsi:type="dcterms:W3CDTF">2024-09-10T09:45:00Z</dcterms:created>
  <dcterms:modified xsi:type="dcterms:W3CDTF">2024-09-27T19:41:00Z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0x010100ABC3ACBE65F61C4DBC9592579CD076E5</vt:lpwstr>
  </property>
  <property fmtid="{D5CDD505-2E9C-101B-9397-08002B2CF9AE}" pid="3" name="MediaServiceImageTags">
    <vt:lpwstr/>
  </property>
</Properties>
</file>